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1</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离岸信托个人所得税年度报告表</w:t>
      </w:r>
    </w:p>
    <w:tbl>
      <w:tblPr>
        <w:tblStyle w:val="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3213"/>
        <w:gridCol w:w="4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所属纳税年度：</w:t>
            </w:r>
          </w:p>
        </w:tc>
        <w:tc>
          <w:tcPr>
            <w:tcW w:w="4442" w:type="dxa"/>
            <w:tcBorders>
              <w:top w:val="nil"/>
              <w:left w:val="nil"/>
              <w:bottom w:val="nil"/>
              <w:right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w:t>
            </w:r>
            <w:r>
              <w:rPr>
                <w:rFonts w:hint="eastAsia" w:ascii="宋体" w:hAnsi="宋体" w:cs="宋体"/>
                <w:color w:val="000000"/>
                <w:kern w:val="0"/>
                <w:sz w:val="22"/>
                <w:szCs w:val="22"/>
                <w:lang w:eastAsia="zh-CN" w:bidi="ar"/>
              </w:rPr>
              <w:t>姓名</w:t>
            </w:r>
            <w:r>
              <w:rPr>
                <w:rFonts w:hint="eastAsia" w:ascii="宋体" w:hAnsi="宋体" w:cs="宋体"/>
                <w:color w:val="000000"/>
                <w:kern w:val="0"/>
                <w:sz w:val="22"/>
                <w:szCs w:val="22"/>
                <w:lang w:bidi="ar"/>
              </w:rPr>
              <w:t>：</w:t>
            </w:r>
          </w:p>
        </w:tc>
        <w:tc>
          <w:tcPr>
            <w:tcW w:w="4442" w:type="dxa"/>
            <w:tcBorders>
              <w:top w:val="nil"/>
              <w:left w:val="nil"/>
              <w:bottom w:val="nil"/>
              <w:right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4442" w:type="dxa"/>
            <w:tcBorders>
              <w:top w:val="nil"/>
              <w:left w:val="nil"/>
              <w:bottom w:val="nil"/>
              <w:right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4442" w:type="dxa"/>
            <w:tcBorders>
              <w:top w:val="nil"/>
              <w:left w:val="nil"/>
              <w:bottom w:val="nil"/>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□将财产装入离岸信托的居民个人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□将财产装入离岸信托的非居民个人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□承继离岸信托相关权益的居民个人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235" w:type="dxa"/>
            <w:gridSpan w:val="2"/>
            <w:tcBorders>
              <w:top w:val="nil"/>
              <w:left w:val="nil"/>
              <w:right w:val="nil"/>
            </w:tcBorders>
            <w:noWrap/>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报送时间：</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离岸信托编码：（系统自动生成）</w:t>
            </w:r>
          </w:p>
        </w:tc>
        <w:tc>
          <w:tcPr>
            <w:tcW w:w="4442" w:type="dxa"/>
            <w:tcBorders>
              <w:top w:val="nil"/>
              <w:left w:val="nil"/>
              <w:right w:val="nil"/>
            </w:tcBorders>
            <w:noWrap/>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金额单位：人民币元（列至角分）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装入离岸信托财产相关的主要境内生产经营企业信息</w:t>
            </w:r>
          </w:p>
        </w:tc>
        <w:tc>
          <w:tcPr>
            <w:tcW w:w="3213"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企业名称</w:t>
            </w:r>
          </w:p>
        </w:tc>
        <w:tc>
          <w:tcPr>
            <w:tcW w:w="4442" w:type="dxa"/>
            <w:tcBorders>
              <w:tl2br w:val="nil"/>
              <w:tr2bl w:val="nil"/>
            </w:tcBorders>
            <w:noWrap/>
            <w:vAlign w:val="bottom"/>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企业</w:t>
            </w:r>
            <w:r>
              <w:rPr>
                <w:rFonts w:hint="eastAsia" w:ascii="宋体" w:hAnsi="宋体" w:cs="宋体"/>
                <w:color w:val="000000"/>
                <w:kern w:val="0"/>
                <w:sz w:val="22"/>
                <w:szCs w:val="22"/>
                <w:lang w:bidi="ar"/>
              </w:rPr>
              <w:t>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登记注册地</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不存在与离岸信托相关的境内生产经营企业</w:t>
            </w:r>
          </w:p>
        </w:tc>
        <w:tc>
          <w:tcPr>
            <w:tcW w:w="3213" w:type="dxa"/>
            <w:tcBorders>
              <w:tl2br w:val="nil"/>
              <w:tr2bl w:val="nil"/>
            </w:tcBorders>
            <w:noWrap/>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纳税人境内财产所在地</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纳税人境内经常居住地</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8677" w:type="dxa"/>
            <w:gridSpan w:val="3"/>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离岸信托基础信息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离岸信托名称（英文）</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离岸信托名称（中文）</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是否为离岸信托设立后首次申报缴税时报送</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本年度离岸信托基础信息是否变动</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具体变动事项</w:t>
            </w:r>
          </w:p>
        </w:tc>
        <w:tc>
          <w:tcPr>
            <w:tcW w:w="4442"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□财产装入人信息 □共同财产装入人信息 □受托人信息□受益人信息 □其他权利人信息 □装入财产信息 □收益分配信息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终止时间信息 □</w:t>
            </w:r>
            <w:r>
              <w:rPr>
                <w:rFonts w:hint="eastAsia" w:ascii="宋体" w:hAnsi="宋体" w:cs="宋体"/>
                <w:color w:val="000000"/>
                <w:kern w:val="0"/>
                <w:sz w:val="22"/>
                <w:szCs w:val="22"/>
                <w:lang w:eastAsia="zh-CN" w:bidi="ar"/>
              </w:rPr>
              <w:t>其他</w:t>
            </w:r>
            <w:r>
              <w:rPr>
                <w:rFonts w:hint="eastAsia" w:ascii="宋体" w:hAnsi="宋体" w:cs="宋体"/>
                <w:color w:val="000000"/>
                <w:kern w:val="0"/>
                <w:sz w:val="22"/>
                <w:szCs w:val="22"/>
                <w:lang w:bidi="ar"/>
              </w:rPr>
              <w:t>信托协议信息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离岸信托协议签订时间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离岸信托所在国家或地区</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离岸信托合同号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022" w:type="dxa"/>
            <w:vMerge w:val="restart"/>
            <w:tcBorders>
              <w:tl2br w:val="nil"/>
              <w:tr2bl w:val="nil"/>
            </w:tcBorders>
            <w:noWrap w:val="0"/>
            <w:vAlign w:val="center"/>
          </w:tcPr>
          <w:p>
            <w:pPr>
              <w:jc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离岸信托基本信息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离岸信托金融账户开户金融机构名称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离岸信托金融账户名</w:t>
            </w:r>
            <w:r>
              <w:rPr>
                <w:rFonts w:hint="eastAsia" w:ascii="宋体" w:hAnsi="宋体" w:cs="宋体"/>
                <w:color w:val="000000"/>
                <w:kern w:val="0"/>
                <w:sz w:val="22"/>
                <w:szCs w:val="22"/>
                <w:lang w:eastAsia="zh-CN" w:bidi="ar"/>
              </w:rPr>
              <w:t>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离岸信托金融账户账号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约定的收益分配方式</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□定期  □不定期  □离岸信托协议终止时分配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 xml:space="preserve">其他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离岸信托终止时间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single"/>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□居民个人 □非居民个人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装入人是否有中国户籍</w:t>
            </w:r>
          </w:p>
        </w:tc>
        <w:tc>
          <w:tcPr>
            <w:tcW w:w="4442" w:type="dxa"/>
            <w:tcBorders>
              <w:tl2br w:val="nil"/>
              <w:tr2bl w:val="nil"/>
            </w:tcBorders>
            <w:noWrap/>
            <w:vAlign w:val="center"/>
          </w:tcPr>
          <w:p>
            <w:pPr>
              <w:jc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装入人户籍地</w:t>
            </w:r>
          </w:p>
        </w:tc>
        <w:tc>
          <w:tcPr>
            <w:tcW w:w="4442"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装入财产的居民个人是否转为非居民个人</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装入人转为非居民个人日期</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single"/>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装入人离岸信托相关金融账户开户金融机构名称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装入人离岸信托相关金融账户</w:t>
            </w:r>
            <w:r>
              <w:rPr>
                <w:rFonts w:hint="eastAsia" w:ascii="宋体" w:hAnsi="宋体" w:cs="宋体"/>
                <w:color w:val="000000"/>
                <w:kern w:val="0"/>
                <w:sz w:val="22"/>
                <w:szCs w:val="22"/>
                <w:lang w:eastAsia="zh-CN" w:bidi="ar"/>
              </w:rPr>
              <w:t>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装入人离岸信托相关金融账户账号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装入人占有离岸信托财产市场价值的比例（%）</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共同财产装入人信息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是否存在共同装入人</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共同装入人数量</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是否掌握共同装入人信息</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不掌握共同装入人信息的原因说明</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共同装入人</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□居民个人 □非居民个人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共同装入人占有离岸信托财产市场价值的比例（%）</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承继离岸信托相关权益的居民个人信息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装入财产的个人死亡后,离岸信托相关权益是否由其他居民个人承继</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eastAsia="zh-CN" w:bidi="ar"/>
              </w:rPr>
              <w:t>承继人联系电话</w:t>
            </w:r>
          </w:p>
        </w:tc>
        <w:tc>
          <w:tcPr>
            <w:tcW w:w="4442" w:type="dxa"/>
            <w:tcBorders>
              <w:tl2br w:val="nil"/>
              <w:tr2bl w:val="nil"/>
            </w:tcBorders>
            <w:noWrap/>
            <w:vAlign w:val="center"/>
          </w:tcPr>
          <w:p>
            <w:pPr>
              <w:widowControl/>
              <w:jc w:val="center"/>
              <w:textAlignment w:val="center"/>
              <w:rPr>
                <w:rStyle w:val="6"/>
                <w:rFonts w:hint="default"/>
                <w:u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kern w:val="0"/>
                <w:sz w:val="22"/>
                <w:szCs w:val="22"/>
                <w:lang w:eastAsia="zh-CN" w:bidi="ar"/>
              </w:rPr>
            </w:pPr>
            <w:r>
              <w:rPr>
                <w:rFonts w:hint="eastAsia" w:ascii="宋体" w:hAnsi="宋体" w:cs="宋体"/>
                <w:color w:val="000000"/>
                <w:kern w:val="0"/>
                <w:sz w:val="22"/>
                <w:szCs w:val="22"/>
                <w:lang w:eastAsia="zh-CN" w:bidi="ar"/>
              </w:rPr>
              <w:t>承继人地址</w:t>
            </w:r>
          </w:p>
        </w:tc>
        <w:tc>
          <w:tcPr>
            <w:tcW w:w="4442" w:type="dxa"/>
            <w:tcBorders>
              <w:tl2br w:val="nil"/>
              <w:tr2bl w:val="nil"/>
            </w:tcBorders>
            <w:noWrap/>
            <w:vAlign w:val="center"/>
          </w:tcPr>
          <w:p>
            <w:pPr>
              <w:widowControl/>
              <w:jc w:val="center"/>
              <w:textAlignment w:val="center"/>
              <w:rPr>
                <w:rStyle w:val="6"/>
                <w:rFonts w:hint="default"/>
                <w:u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被承继人姓名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被承继人纳税人识别号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被承继人的离岸信托编码</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□居民企业 □非居民企业</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受托人注册的国家或地区</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受托人是否指定境内机构代理</w:t>
            </w:r>
            <w:r>
              <w:rPr>
                <w:rFonts w:hint="eastAsia" w:ascii="宋体" w:hAnsi="宋体" w:cs="宋体"/>
                <w:color w:val="000000"/>
                <w:kern w:val="0"/>
                <w:sz w:val="22"/>
                <w:szCs w:val="22"/>
                <w:lang w:eastAsia="zh-CN" w:bidi="ar"/>
              </w:rPr>
              <w:t>协助</w:t>
            </w:r>
            <w:r>
              <w:rPr>
                <w:rFonts w:hint="eastAsia" w:ascii="宋体" w:hAnsi="宋体" w:cs="宋体"/>
                <w:color w:val="000000"/>
                <w:kern w:val="0"/>
                <w:sz w:val="22"/>
                <w:szCs w:val="22"/>
                <w:lang w:bidi="ar"/>
              </w:rPr>
              <w:t>报送相关信息</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7"/>
                <w:rFonts w:hint="default"/>
                <w:lang w:bidi="ar"/>
              </w:rPr>
              <w:t>□居民企业 □非居民企业 □居民个人 □非居民个人 □其他</w:t>
            </w:r>
            <w:r>
              <w:rPr>
                <w:rStyle w:val="6"/>
                <w:rFonts w:hint="default"/>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受益人名称</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受益人证件类型</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受益人证件号码</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受益人联系电话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金融账户开户金融机构名称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金融账户名</w:t>
            </w:r>
            <w:r>
              <w:rPr>
                <w:rFonts w:hint="eastAsia" w:ascii="宋体" w:hAnsi="宋体" w:cs="宋体"/>
                <w:color w:val="000000"/>
                <w:kern w:val="0"/>
                <w:sz w:val="22"/>
                <w:szCs w:val="22"/>
                <w:lang w:eastAsia="zh-CN" w:bidi="ar"/>
              </w:rPr>
              <w:t>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金融账户账号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其他权利人信息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其他离岸信托权利人（保护人）身份</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□居民企业 □非居民企业 □居民个人 □非居民个人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其他离岸信托权利人（保护人）名称</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其他离岸信托权利人（保护人）</w:t>
            </w:r>
            <w:r>
              <w:rPr>
                <w:rFonts w:hint="eastAsia" w:ascii="宋体" w:hAnsi="宋体" w:cs="宋体"/>
                <w:color w:val="000000"/>
                <w:kern w:val="0"/>
                <w:sz w:val="22"/>
                <w:szCs w:val="22"/>
                <w:lang w:eastAsia="zh-CN" w:bidi="ar"/>
              </w:rPr>
              <w:t>纳税人</w:t>
            </w:r>
            <w:r>
              <w:rPr>
                <w:rFonts w:hint="eastAsia" w:ascii="宋体" w:hAnsi="宋体" w:cs="宋体"/>
                <w:color w:val="000000"/>
                <w:kern w:val="0"/>
                <w:sz w:val="22"/>
                <w:szCs w:val="22"/>
                <w:lang w:bidi="ar"/>
              </w:rPr>
              <w:t>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与离岸信托的关系说明</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纳税人装入离岸信托的财产信息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一、现金（存款）类财产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币种</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装入时换算人民币金额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二、股权（票）、合伙企业份额类资产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标的企业名称</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标的企业注册的国家或地区</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装入时市场价值</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相关合理费用</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三、债权（券）类资产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eastAsia="zh-CN" w:bidi="ar"/>
              </w:rPr>
              <w:t>标的名称</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标的企业名称</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标的企业注册的国家或地区</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none"/>
              </w:rPr>
            </w:pPr>
            <w:r>
              <w:rPr>
                <w:rStyle w:val="6"/>
                <w:rFonts w:hint="default"/>
                <w:u w:val="none"/>
                <w:lang w:bidi="ar"/>
              </w:rPr>
              <w:t xml:space="preserve">  </w:t>
            </w:r>
            <w:r>
              <w:rPr>
                <w:rStyle w:val="7"/>
                <w:rFonts w:hint="default"/>
                <w:u w:val="none"/>
                <w:lang w:bidi="ar"/>
              </w:rPr>
              <w:t>年</w:t>
            </w:r>
            <w:r>
              <w:rPr>
                <w:rStyle w:val="6"/>
                <w:rFonts w:hint="default"/>
                <w:u w:val="none"/>
                <w:lang w:bidi="ar"/>
              </w:rPr>
              <w:t xml:space="preserve">  </w:t>
            </w:r>
            <w:r>
              <w:rPr>
                <w:rStyle w:val="7"/>
                <w:rFonts w:hint="default"/>
                <w:u w:val="none"/>
                <w:lang w:bidi="ar"/>
              </w:rPr>
              <w:t>月</w:t>
            </w:r>
            <w:r>
              <w:rPr>
                <w:rStyle w:val="6"/>
                <w:rFonts w:hint="default"/>
                <w:u w:val="none"/>
                <w:lang w:bidi="ar"/>
              </w:rPr>
              <w:t xml:space="preserve">  </w:t>
            </w:r>
            <w:r>
              <w:rPr>
                <w:rStyle w:val="7"/>
                <w:rFonts w:hint="default"/>
                <w:u w:val="none"/>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装入时市场价值</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相关合理费用</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四、其他资产</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其他资产名称</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none"/>
              </w:rPr>
            </w:pPr>
            <w:r>
              <w:rPr>
                <w:rStyle w:val="6"/>
                <w:rFonts w:hint="default"/>
                <w:u w:val="none"/>
                <w:lang w:bidi="ar"/>
              </w:rPr>
              <w:t xml:space="preserve">  </w:t>
            </w:r>
            <w:r>
              <w:rPr>
                <w:rStyle w:val="7"/>
                <w:rFonts w:hint="default"/>
                <w:u w:val="none"/>
                <w:lang w:bidi="ar"/>
              </w:rPr>
              <w:t>年</w:t>
            </w:r>
            <w:r>
              <w:rPr>
                <w:rStyle w:val="6"/>
                <w:rFonts w:hint="default"/>
                <w:u w:val="none"/>
                <w:lang w:bidi="ar"/>
              </w:rPr>
              <w:t xml:space="preserve">  </w:t>
            </w:r>
            <w:r>
              <w:rPr>
                <w:rStyle w:val="7"/>
                <w:rFonts w:hint="default"/>
                <w:u w:val="none"/>
                <w:lang w:bidi="ar"/>
              </w:rPr>
              <w:t>月</w:t>
            </w:r>
            <w:r>
              <w:rPr>
                <w:rStyle w:val="6"/>
                <w:rFonts w:hint="default"/>
                <w:u w:val="none"/>
                <w:lang w:bidi="ar"/>
              </w:rPr>
              <w:t xml:space="preserve">  </w:t>
            </w:r>
            <w:r>
              <w:rPr>
                <w:rStyle w:val="7"/>
                <w:rFonts w:hint="default"/>
                <w:u w:val="none"/>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装入时市场价值</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相关合理费用</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纳税人装入财产市场价值总计金额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8677" w:type="dxa"/>
            <w:gridSpan w:val="3"/>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离岸信托年度收益信息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年（期）初离岸信托资产余额合计</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其中：现金</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存款</w:t>
            </w:r>
            <w:r>
              <w:rPr>
                <w:rFonts w:hint="eastAsia" w:ascii="宋体" w:hAnsi="宋体" w:cs="宋体"/>
                <w:color w:val="000000"/>
                <w:kern w:val="0"/>
                <w:sz w:val="22"/>
                <w:szCs w:val="22"/>
                <w:lang w:eastAsia="zh-CN"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4235" w:type="dxa"/>
            <w:gridSpan w:val="2"/>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股权（票）、合伙企业份额类资产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债权（券）类资产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其他资产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年末离岸信托资产余额合计</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其中：现金</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存款</w:t>
            </w:r>
            <w:r>
              <w:rPr>
                <w:rFonts w:hint="eastAsia" w:ascii="宋体" w:hAnsi="宋体" w:cs="宋体"/>
                <w:color w:val="000000"/>
                <w:kern w:val="0"/>
                <w:sz w:val="22"/>
                <w:szCs w:val="22"/>
                <w:lang w:eastAsia="zh-CN"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4235" w:type="dxa"/>
            <w:gridSpan w:val="2"/>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股权（票）、合伙企业份额类资产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债权（券）类资产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其他资产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离岸信托财产转让所得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其中：境外实体财产转让所得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 w:hRule="atLeast"/>
        </w:trPr>
        <w:tc>
          <w:tcPr>
            <w:tcW w:w="4235" w:type="dxa"/>
            <w:gridSpan w:val="2"/>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离岸信托及其境外实体以分配、赠与、划转、低价转让等方式转移信托财产的</w:t>
            </w:r>
            <w:r>
              <w:rPr>
                <w:rFonts w:hint="eastAsia" w:ascii="宋体" w:hAnsi="宋体" w:cs="宋体"/>
                <w:color w:val="000000"/>
                <w:kern w:val="0"/>
                <w:sz w:val="22"/>
                <w:szCs w:val="22"/>
                <w:lang w:eastAsia="zh-CN" w:bidi="ar"/>
              </w:rPr>
              <w:t>所得</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其中：境外实体利息、股息、红利所得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纳税人财产转让所得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8677" w:type="dxa"/>
            <w:gridSpan w:val="3"/>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离岸信托分配信息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以前年度累计已分配收益</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年（期）初累计未分配收益</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年末累计未分配收益</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当年是否向受益人分配</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当年分配金额合计</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接受分配受益人名称</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接受分配受益人纳税人识别号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受益人视同取得的收益金额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8677" w:type="dxa"/>
            <w:gridSpan w:val="3"/>
            <w:tcBorders>
              <w:tl2br w:val="nil"/>
              <w:tr2bl w:val="nil"/>
            </w:tcBorders>
            <w:noWrap/>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0" w:hRule="atLeast"/>
        </w:trPr>
        <w:tc>
          <w:tcPr>
            <w:tcW w:w="8677" w:type="dxa"/>
            <w:gridSpan w:val="3"/>
            <w:tcBorders>
              <w:tl2br w:val="nil"/>
              <w:tr2bl w:val="nil"/>
            </w:tcBorders>
            <w:noWrap w:val="0"/>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纳税人签字：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0" w:hRule="atLeast"/>
        </w:trPr>
        <w:tc>
          <w:tcPr>
            <w:tcW w:w="4235" w:type="dxa"/>
            <w:gridSpan w:val="2"/>
            <w:tcBorders>
              <w:tl2br w:val="nil"/>
              <w:tr2bl w:val="nil"/>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442" w:type="dxa"/>
            <w:tcBorders>
              <w:tl2br w:val="nil"/>
              <w:tr2bl w:val="nil"/>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《离岸信托个人所得税年度报告表》填报说明</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本表适用于将财产装入离岸信托的居民个人、将财产装入离岸信托</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非居民个人以及承继离岸信托财产的居民个人，按照税法相关规定在办理纳税申报时填报。离岸信托是指依照境外法律规定设立的信托或具有信托功能的其他法律安排。非居民个人将财产装入离岸信托但受益人为居民个人的，该居民个人不适用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将财产装入离岸信托的居民个人以及承继离岸信托财产的居民个人，应当在每年3月1日至6月30日填报《个人所得税年度自行纳税申报表》（B表）时，附报本表。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将财产装入离岸信托的非居民个人，应当在财产装入次月15日内填报《个人所得税自行纳税申报表》（A表）时，附报本表。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1.所属纳税年度：居民个人与《个人所得税年度自行纳税申报表》（B表）纳税年度保持一致。非居民个人以将财产装入离岸信托的年度为所属纳税年度。</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：填写居民个人或非居民个人姓名。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4.纳税人身份类型：纳税人根据自身情况勾选。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5.装入离岸信托财产相关的主要境内生产经营企业信息：由纳税人按照装入离岸信托财产相关的境内</w:t>
      </w:r>
      <w:r>
        <w:rPr>
          <w:rFonts w:hint="eastAsia" w:ascii="仿宋_GB2312" w:hAnsi="仿宋_GB2312" w:eastAsia="仿宋_GB2312" w:cs="仿宋_GB2312"/>
          <w:sz w:val="28"/>
          <w:szCs w:val="28"/>
          <w:lang w:eastAsia="zh-CN"/>
        </w:rPr>
        <w:t>生产经营</w:t>
      </w:r>
      <w:r>
        <w:rPr>
          <w:rFonts w:hint="eastAsia" w:ascii="仿宋_GB2312" w:hAnsi="仿宋_GB2312" w:eastAsia="仿宋_GB2312" w:cs="仿宋_GB2312"/>
          <w:sz w:val="28"/>
          <w:szCs w:val="28"/>
        </w:rPr>
        <w:t>企业信息进行填写。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6.不存在与离岸信托相关的境内生产经营企业：纳税人有装入离岸信托财产相关境内生产</w:t>
      </w:r>
      <w:r>
        <w:rPr>
          <w:rFonts w:hint="eastAsia" w:ascii="仿宋_GB2312" w:hAnsi="仿宋_GB2312" w:eastAsia="仿宋_GB2312" w:cs="仿宋_GB2312"/>
          <w:sz w:val="28"/>
          <w:szCs w:val="28"/>
          <w:lang w:eastAsia="zh-CN"/>
        </w:rPr>
        <w:t>经营</w:t>
      </w:r>
      <w:r>
        <w:rPr>
          <w:rFonts w:hint="eastAsia" w:ascii="仿宋_GB2312" w:hAnsi="仿宋_GB2312" w:eastAsia="仿宋_GB2312" w:cs="仿宋_GB2312"/>
          <w:sz w:val="28"/>
          <w:szCs w:val="28"/>
        </w:rPr>
        <w:t>企业信息的，不填写本项。纳税人不存在境内生产经营企业</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，选择与离岸信托相关的境内财产所在地填写；既不存在境内生产经营企业也不存在与离岸信托相关的境内财产的，选择境内经常居住地填写。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7.离岸信托基础信息：由纳税人根据离岸信托协议等资料据实填写。</w:t>
      </w:r>
      <w:r>
        <w:rPr>
          <w:rFonts w:ascii="仿宋_GB2312" w:hAnsi="仿宋_GB2312" w:eastAsia="仿宋_GB2312" w:cs="仿宋_GB2312"/>
          <w:sz w:val="28"/>
          <w:szCs w:val="28"/>
        </w:rPr>
        <w:t>共同财产装入人信息</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承继离岸信托权益的居民个人信息</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受益人信息</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其他权利人信息</w:t>
      </w:r>
      <w:r>
        <w:rPr>
          <w:rFonts w:hint="eastAsia" w:ascii="仿宋_GB2312" w:hAnsi="仿宋_GB2312" w:eastAsia="仿宋_GB2312" w:cs="仿宋_GB2312"/>
          <w:sz w:val="28"/>
          <w:szCs w:val="28"/>
        </w:rPr>
        <w:t>项目无信息的，可不填写。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8.纳税人装入离岸信托的财产信息：由纳税人根据离岸信托协议以及装入离岸信托财产明细信息据实填报。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9.离岸信托年度收益信息：将财产装入离岸信托的居民个人以及承继离岸信托财产的居民个人按照规定计算所得后填报。将财产装入离岸信托的非居民个人不填报本项。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10.离岸信托分配信息：将财产装入离岸信托的居民个人以及承继离岸信托财产的居民个人按照当年离岸信托财产分配情况据实填报。将财产装入离岸信托的非居民个人不填报本项。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11.</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sz w:val="32"/>
          <w:szCs w:val="32"/>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WZT-EN">
    <w:altName w:val="宋体"/>
    <w:panose1 w:val="02000000000000000000"/>
    <w:charset w:val="86"/>
    <w:family w:val="auto"/>
    <w:pitch w:val="default"/>
    <w:sig w:usb0="0000000F" w:usb1="28810000" w:usb2="00000000" w:usb3="00000000" w:csb0="00140001" w:csb1="00000000"/>
  </w:font>
  <w:font w:name="方正小标宋_GBK">
    <w:altName w:val="Arial Unicode MS"/>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4C6AB2"/>
    <w:rsid w:val="00B57D92"/>
    <w:rsid w:val="1CEE4AA1"/>
    <w:rsid w:val="27BEF0E5"/>
    <w:rsid w:val="2FBBF116"/>
    <w:rsid w:val="333F721E"/>
    <w:rsid w:val="3E7FABC4"/>
    <w:rsid w:val="4FC03264"/>
    <w:rsid w:val="5EEEC49E"/>
    <w:rsid w:val="5FFFBB92"/>
    <w:rsid w:val="6C7F63BF"/>
    <w:rsid w:val="6F7DD6E6"/>
    <w:rsid w:val="73334683"/>
    <w:rsid w:val="789B53A9"/>
    <w:rsid w:val="79938348"/>
    <w:rsid w:val="7AFA06DC"/>
    <w:rsid w:val="7BDE91F0"/>
    <w:rsid w:val="7F7B6DE8"/>
    <w:rsid w:val="7FFD326B"/>
    <w:rsid w:val="7FFFA91F"/>
    <w:rsid w:val="93FF07C9"/>
    <w:rsid w:val="AF2FFA61"/>
    <w:rsid w:val="AF7FF4EF"/>
    <w:rsid w:val="BAFFAF5A"/>
    <w:rsid w:val="BBDE1EB2"/>
    <w:rsid w:val="BDFFB7BF"/>
    <w:rsid w:val="BF5EA4E1"/>
    <w:rsid w:val="C6FCEF7F"/>
    <w:rsid w:val="CB5F5DE2"/>
    <w:rsid w:val="CB6F6C23"/>
    <w:rsid w:val="DBFFF114"/>
    <w:rsid w:val="DE57AD21"/>
    <w:rsid w:val="DFFE3889"/>
    <w:rsid w:val="E77A71B0"/>
    <w:rsid w:val="EBFDCEDC"/>
    <w:rsid w:val="EDBF1AA0"/>
    <w:rsid w:val="EDFB69C9"/>
    <w:rsid w:val="EEBF0A50"/>
    <w:rsid w:val="FAFEDA53"/>
    <w:rsid w:val="FBFD0DF1"/>
    <w:rsid w:val="FE3FDB54"/>
    <w:rsid w:val="FEE820AA"/>
    <w:rsid w:val="FF506504"/>
    <w:rsid w:val="FF6FA8BD"/>
    <w:rsid w:val="FFA25DC7"/>
    <w:rsid w:val="FFBB92AA"/>
    <w:rsid w:val="FFBB990F"/>
    <w:rsid w:val="FFFC91D5"/>
    <w:rsid w:val="FFFD79FA"/>
    <w:rsid w:val="FFFE46ED"/>
    <w:rsid w:val="FFFF48B4"/>
    <w:rsid w:val="FFFF6B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uiPriority w:val="0"/>
    <w:rPr>
      <w:rFonts w:hint="eastAsia" w:ascii="宋体" w:hAnsi="宋体" w:eastAsia="宋体" w:cs="宋体"/>
      <w:color w:val="000000"/>
      <w:sz w:val="22"/>
      <w:szCs w:val="22"/>
      <w:u w:val="single"/>
    </w:rPr>
  </w:style>
  <w:style w:type="character" w:customStyle="1" w:styleId="7">
    <w:name w:val="font01"/>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584</Words>
  <Characters>3334</Characters>
  <Lines>27</Lines>
  <Paragraphs>7</Paragraphs>
  <TotalTime>3.66666666666667</TotalTime>
  <ScaleCrop>false</ScaleCrop>
  <LinksUpToDate>false</LinksUpToDate>
  <CharactersWithSpaces>3911</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2026-07-17T17:12:00Z</dcterms:created>
  <dc:creator>羊坊店</dc:creator>
  <cp:lastModifiedBy>网站编辑部</cp:lastModifiedBy>
  <cp:lastPrinted>2026-07-26T02:43:42Z</cp:lastPrinted>
  <dcterms:modified xsi:type="dcterms:W3CDTF">2026-07-27T01:11:30Z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850801FB2335293390144E6AC5FFC0D4_41</vt:lpwstr>
  </property>
</Properties>
</file>