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污水处理劳务增值税政策</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一、适用税目和税率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国家税务总局关于明确二手车经销等若干增值税征管问题的公告</w:t>
      </w:r>
      <w:r>
        <w:rPr>
          <w:rFonts w:hint="eastAsia" w:ascii="仿宋" w:hAnsi="仿宋" w:eastAsia="仿宋" w:cs="仿宋"/>
          <w:sz w:val="32"/>
          <w:szCs w:val="32"/>
          <w:lang w:eastAsia="zh-CN"/>
        </w:rPr>
        <w:t>（</w:t>
      </w:r>
      <w:r>
        <w:rPr>
          <w:rFonts w:hint="eastAsia" w:ascii="仿宋" w:hAnsi="仿宋" w:eastAsia="仿宋" w:cs="仿宋"/>
          <w:sz w:val="32"/>
          <w:szCs w:val="32"/>
        </w:rPr>
        <w:t>国家税务总局公告2020年第9号</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第</w:t>
      </w:r>
      <w:r>
        <w:rPr>
          <w:rFonts w:hint="eastAsia" w:ascii="仿宋" w:hAnsi="仿宋" w:eastAsia="仿宋" w:cs="仿宋"/>
          <w:sz w:val="32"/>
          <w:szCs w:val="32"/>
        </w:rPr>
        <w:t>二</w:t>
      </w:r>
      <w:r>
        <w:rPr>
          <w:rFonts w:hint="eastAsia" w:ascii="仿宋" w:hAnsi="仿宋" w:eastAsia="仿宋" w:cs="仿宋"/>
          <w:sz w:val="32"/>
          <w:szCs w:val="32"/>
          <w:lang w:eastAsia="zh-CN"/>
        </w:rPr>
        <w:t>条：</w:t>
      </w:r>
      <w:r>
        <w:rPr>
          <w:rFonts w:hint="eastAsia" w:ascii="仿宋" w:hAnsi="仿宋" w:eastAsia="仿宋" w:cs="仿宋"/>
          <w:sz w:val="32"/>
          <w:szCs w:val="32"/>
        </w:rPr>
        <w:t>纳税人受托对垃圾、污泥、污水、废气等废弃物进行专业化处理，即运用填埋、焚烧、净化、制肥等方式，对废弃物进行减量化、资源化和无害化处理处置，按照以下规定适用增值税税率：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采取填埋、焚烧等方式进行专业化处理后未产生货物的，受托方属于提供《销售服务、无形资产、不动产注释》（财税〔2016〕36号文件印发）“现代服务”中的“专业技术服务”，其收取的处理费用适用6%的增值税税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（二）专业化处理后产生货物，且货物归属委托方的，受托方属于提供“加工劳务”，其收取的处理费用适用13%的增值税税率。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（三）专业化处理后产生货物，且货物归属受托方的，受托方属于提供“专业技术服务”，其收取的处理费用适用6%的增值税税率。受托方将产生的货物用于销售时，适用货物的增值税税率。</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二、税收优惠政策</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财政部 税务总局关于完善资源综合利用增值税政策的公告</w:t>
      </w:r>
      <w:r>
        <w:rPr>
          <w:rFonts w:hint="eastAsia" w:ascii="仿宋" w:hAnsi="仿宋" w:eastAsia="仿宋" w:cs="仿宋"/>
          <w:sz w:val="32"/>
          <w:szCs w:val="32"/>
          <w:lang w:eastAsia="zh-CN"/>
        </w:rPr>
        <w:t>（</w:t>
      </w:r>
      <w:r>
        <w:rPr>
          <w:rFonts w:hint="eastAsia" w:ascii="仿宋" w:hAnsi="仿宋" w:eastAsia="仿宋" w:cs="仿宋"/>
          <w:sz w:val="32"/>
          <w:szCs w:val="32"/>
        </w:rPr>
        <w:t>财政部 税务总局公告2021年第40号</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（一）即征即退</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rPr>
        <w:t>40号</w:t>
      </w:r>
      <w:r>
        <w:rPr>
          <w:rFonts w:hint="eastAsia" w:ascii="仿宋" w:hAnsi="仿宋" w:eastAsia="仿宋" w:cs="仿宋"/>
          <w:sz w:val="32"/>
          <w:szCs w:val="32"/>
          <w:lang w:eastAsia="zh-CN"/>
        </w:rPr>
        <w:t>公告》第</w:t>
      </w:r>
      <w:r>
        <w:rPr>
          <w:rFonts w:hint="eastAsia" w:ascii="仿宋" w:hAnsi="仿宋" w:eastAsia="仿宋" w:cs="仿宋"/>
          <w:sz w:val="32"/>
          <w:szCs w:val="32"/>
        </w:rPr>
        <w:t>三</w:t>
      </w:r>
      <w:r>
        <w:rPr>
          <w:rFonts w:hint="eastAsia" w:ascii="仿宋" w:hAnsi="仿宋" w:eastAsia="仿宋" w:cs="仿宋"/>
          <w:sz w:val="32"/>
          <w:szCs w:val="32"/>
          <w:lang w:eastAsia="zh-CN"/>
        </w:rPr>
        <w:t>条：</w:t>
      </w:r>
      <w:r>
        <w:rPr>
          <w:rFonts w:hint="eastAsia" w:ascii="仿宋" w:hAnsi="仿宋" w:eastAsia="仿宋" w:cs="仿宋"/>
          <w:sz w:val="32"/>
          <w:szCs w:val="32"/>
        </w:rPr>
        <w:t>增值税一般纳税人销售自产的资源综合利用产品和提供资源综合利用劳务，可享受增值税即征即退政策。</w:t>
      </w:r>
    </w:p>
    <w:p>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（二）免税</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40号</w:t>
      </w:r>
      <w:r>
        <w:rPr>
          <w:rFonts w:hint="eastAsia" w:ascii="仿宋" w:hAnsi="仿宋" w:eastAsia="仿宋" w:cs="仿宋"/>
          <w:sz w:val="32"/>
          <w:szCs w:val="32"/>
          <w:lang w:eastAsia="zh-CN"/>
        </w:rPr>
        <w:t>公告》第</w:t>
      </w:r>
      <w:r>
        <w:rPr>
          <w:rFonts w:hint="eastAsia" w:ascii="仿宋" w:hAnsi="仿宋" w:eastAsia="仿宋" w:cs="仿宋"/>
          <w:sz w:val="32"/>
          <w:szCs w:val="32"/>
        </w:rPr>
        <w:t>四</w:t>
      </w:r>
      <w:r>
        <w:rPr>
          <w:rFonts w:hint="eastAsia" w:ascii="仿宋" w:hAnsi="仿宋" w:eastAsia="仿宋" w:cs="仿宋"/>
          <w:sz w:val="32"/>
          <w:szCs w:val="32"/>
          <w:lang w:eastAsia="zh-CN"/>
        </w:rPr>
        <w:t>条：</w:t>
      </w:r>
      <w:r>
        <w:rPr>
          <w:rFonts w:hint="eastAsia" w:ascii="仿宋" w:hAnsi="仿宋" w:eastAsia="仿宋" w:cs="仿宋"/>
          <w:sz w:val="32"/>
          <w:szCs w:val="32"/>
        </w:rPr>
        <w:t>纳税人从事《目录》2.15“污水处理厂出水、工业排水（矿井水）、生活污水、垃圾处理厂渗透（滤）液等”项目、5.1“垃圾处理、污泥处理处置劳务”、</w:t>
      </w:r>
      <w:r>
        <w:rPr>
          <w:rFonts w:hint="eastAsia" w:ascii="仿宋" w:hAnsi="仿宋" w:eastAsia="仿宋" w:cs="仿宋"/>
          <w:b/>
          <w:bCs/>
          <w:sz w:val="32"/>
          <w:szCs w:val="32"/>
        </w:rPr>
        <w:t>5.2“污水处理劳务”项目，</w:t>
      </w:r>
      <w:r>
        <w:rPr>
          <w:rFonts w:hint="eastAsia" w:ascii="仿宋" w:hAnsi="仿宋" w:eastAsia="仿宋" w:cs="仿宋"/>
          <w:sz w:val="32"/>
          <w:szCs w:val="32"/>
        </w:rPr>
        <w:t>可适用本公告“三”规定的增值税即征即退政策，也可选择适用免征增值税政策；一经选定，36个月内不得变更。</w:t>
      </w:r>
      <w:r>
        <w:rPr>
          <w:rFonts w:hint="eastAsia" w:ascii="仿宋" w:hAnsi="仿宋" w:eastAsia="仿宋" w:cs="仿宋"/>
          <w:b/>
          <w:bCs/>
          <w:sz w:val="32"/>
          <w:szCs w:val="32"/>
        </w:rPr>
        <w:t>选择适用免税政策的纳税人，应满足本公告“三”有关规定以及《目录》规定的技术标准和相关条件，相关资料留存备查。</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附：</w:t>
      </w:r>
      <w:r>
        <w:rPr>
          <w:rFonts w:hint="eastAsia" w:ascii="仿宋" w:hAnsi="仿宋" w:eastAsia="仿宋" w:cs="仿宋"/>
          <w:sz w:val="32"/>
          <w:szCs w:val="32"/>
        </w:rPr>
        <w:t>《目录》规定的技术标准和相关条件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（一）</w:t>
      </w:r>
      <w:r>
        <w:rPr>
          <w:rFonts w:hint="eastAsia" w:ascii="仿宋" w:hAnsi="仿宋" w:eastAsia="仿宋" w:cs="仿宋"/>
          <w:sz w:val="32"/>
          <w:szCs w:val="32"/>
        </w:rPr>
        <w:t>2.15</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综合利用的资源名称：</w:t>
      </w:r>
      <w:r>
        <w:rPr>
          <w:rFonts w:hint="eastAsia" w:ascii="仿宋" w:hAnsi="仿宋" w:eastAsia="仿宋" w:cs="仿宋"/>
          <w:sz w:val="32"/>
          <w:szCs w:val="32"/>
        </w:rPr>
        <w:t>“污水处理厂出水、工业排水（矿井水）、生活污水、垃圾处理厂渗透（滤）液等”项目</w:t>
      </w:r>
      <w:r>
        <w:rPr>
          <w:rFonts w:hint="eastAsia" w:ascii="仿宋" w:hAnsi="仿宋" w:eastAsia="仿宋" w:cs="仿宋"/>
          <w:sz w:val="32"/>
          <w:szCs w:val="32"/>
          <w:lang w:eastAsia="zh-CN"/>
        </w:rPr>
        <w:t>；</w:t>
      </w:r>
      <w:r>
        <w:rPr>
          <w:rFonts w:hint="eastAsia" w:ascii="仿宋" w:hAnsi="仿宋" w:eastAsia="仿宋" w:cs="仿宋"/>
          <w:b/>
          <w:bCs/>
          <w:sz w:val="32"/>
          <w:szCs w:val="32"/>
          <w:lang w:eastAsia="zh-CN"/>
        </w:rPr>
        <w:t>综合利用产品：再生水；</w:t>
      </w:r>
      <w:r>
        <w:rPr>
          <w:rFonts w:hint="eastAsia" w:ascii="仿宋" w:hAnsi="仿宋" w:eastAsia="仿宋" w:cs="仿宋"/>
          <w:sz w:val="32"/>
          <w:szCs w:val="32"/>
          <w:lang w:eastAsia="zh-CN"/>
        </w:rPr>
        <w:t>技术标准和相关条件：</w:t>
      </w:r>
      <w:r>
        <w:rPr>
          <w:rFonts w:hint="eastAsia" w:ascii="仿宋" w:hAnsi="仿宋" w:eastAsia="仿宋" w:cs="仿宋"/>
          <w:sz w:val="32"/>
          <w:szCs w:val="32"/>
          <w:lang w:val="en-US" w:eastAsia="zh-CN"/>
        </w:rPr>
        <w:t>1.产品标准100%来自所列资源；2.产品应达到相关用途的再生水水质标准。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（二）5.2  </w:t>
      </w:r>
      <w:r>
        <w:rPr>
          <w:rFonts w:hint="eastAsia" w:ascii="仿宋" w:hAnsi="仿宋" w:eastAsia="仿宋" w:cs="仿宋"/>
          <w:sz w:val="32"/>
          <w:szCs w:val="32"/>
          <w:lang w:eastAsia="zh-CN"/>
        </w:rPr>
        <w:t>综合利用的资源名称：</w:t>
      </w:r>
      <w:r>
        <w:rPr>
          <w:rFonts w:hint="eastAsia" w:ascii="仿宋" w:hAnsi="仿宋" w:eastAsia="仿宋" w:cs="仿宋"/>
          <w:sz w:val="32"/>
          <w:szCs w:val="32"/>
        </w:rPr>
        <w:t>污水处理劳务</w:t>
      </w:r>
      <w:r>
        <w:rPr>
          <w:rFonts w:hint="eastAsia" w:ascii="仿宋" w:hAnsi="仿宋" w:eastAsia="仿宋" w:cs="仿宋"/>
          <w:sz w:val="32"/>
          <w:szCs w:val="32"/>
          <w:lang w:eastAsia="zh-CN"/>
        </w:rPr>
        <w:t>；技术标准和相关条件：污水经加工处理后符合《城镇污水处理厂污染物排放标准》（GB 18918 —2002）规定的技术要求或达到相应的国家或地方水污染物排放标准中的直接排放限值。</w:t>
      </w:r>
    </w:p>
    <w:p>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（三）同时适用即征即退和免税的特殊情形</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国家税务总局《2019 年以来系列税费支持政策即问即答汇编》</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【问题281】我公司是一家污水处理厂，主要从事《资</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源综合利用产品和劳务增值税优惠目录（2022 年版）》5.2“污水处理劳务”项目，从政府取得污水处理费收入；同时，</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我公司又将利用“污水”生产的“再生水”用于销售，从购</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买方取得再生水销售收入，符合《目录》2.15“污水处理厂</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出水、工业排水（矿井水）、生活污水、垃圾处理厂渗透（滤）</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液等”项目的相关规定。根据40 号公告规定，我公司自2022</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年3 月所属期起，对《目录》5.2“污水处理劳务”项目选</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择适用免征增值税。请问，对于2.15“污水处理厂出水、工</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业排水（矿井水）、生活污水、垃圾处理厂渗透（滤）液等”</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项目，我公司还能享受资源综合利用增值税即征即退政策吗？</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答：根据《财政部税务总局关于完善资源综合利用增</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值税政策的公告》（2021 年第40 号）第四条规定，你公司提供污水处理业务的同时，销售产成品再生水，应分属两项不同的业务：一是为政府部门提供的污水处理“专业技术服务”，对象是政府部门；二是销售再生水，对象是再生水的购买方。因此，你公司就其中一项业务选择适用免征增值税政策，不影响另一项业务选择适用即征即退政策。若你公司上述两项业务分别适用免税和即征即退政策，应准确核算可抵扣的进项税额；对不能准确划分的部分，应根据销售收入占比进行划分。其中，用于免征增值税项目的进项税额不得从销项税额中抵扣。</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三、风险事项</w:t>
      </w:r>
    </w:p>
    <w:p>
      <w:pPr>
        <w:spacing w:beforeLines="0" w:afterLines="0"/>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.不具备相关资质违规享受政策风险。</w:t>
      </w:r>
      <w:r>
        <w:rPr>
          <w:rFonts w:hint="eastAsia" w:ascii="FangSong_GB2312" w:hAnsi="FangSong_GB2312" w:eastAsia="FangSong_GB2312"/>
          <w:sz w:val="32"/>
          <w:szCs w:val="24"/>
        </w:rPr>
        <w:t>不同时满足《财政部税务总局关于完善资源综合利用增值税政策的公告》（财政部税务总局公告2021 年第40 号）中第三大项第（二）项中所列7 项条件的增值税一般纳税人，存在违规享受资源综合利用增值税即征即退政策的风险。</w:t>
      </w:r>
    </w:p>
    <w:p>
      <w:pPr>
        <w:spacing w:beforeLines="0" w:afterLines="0"/>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.发票开具不规范风险。</w:t>
      </w:r>
      <w:r>
        <w:rPr>
          <w:rFonts w:hint="eastAsia" w:ascii="FangSong_GB2312" w:hAnsi="FangSong_GB2312" w:eastAsia="FangSong_GB2312"/>
          <w:sz w:val="32"/>
          <w:szCs w:val="24"/>
        </w:rPr>
        <w:t>纳税人未按规定开具发票，未准确区分一般货物和即征即退货物数量、金额，未注明“规格型号”，未按适用计税方法开具对应税率增值税发票，存在发票开具不规范的风险。</w:t>
      </w:r>
    </w:p>
    <w:p>
      <w:pPr>
        <w:spacing w:beforeLines="0" w:afterLines="0"/>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.一般项目与即征即退项目未单独核算风险。</w:t>
      </w:r>
      <w:r>
        <w:rPr>
          <w:rFonts w:hint="eastAsia" w:ascii="FangSong_GB2312" w:hAnsi="FangSong_GB2312" w:eastAsia="FangSong_GB2312"/>
          <w:sz w:val="32"/>
          <w:szCs w:val="24"/>
        </w:rPr>
        <w:t>兼营一般项目与即征即退项目的纳税人，将一般项目收入作为即征即退项目收入，或将即征即退项目的进项税额作为一般项目的进项税额，存在一般项目与即征即退项目未单独核算的风险。</w:t>
      </w:r>
    </w:p>
    <w:p>
      <w:pPr>
        <w:spacing w:beforeLines="0" w:afterLines="0"/>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.不符合《目录》规定的技术标准和相关条件违规享受政策风险。</w:t>
      </w:r>
      <w:r>
        <w:rPr>
          <w:rFonts w:hint="eastAsia" w:ascii="FangSong_GB2312" w:hAnsi="FangSong_GB2312" w:eastAsia="FangSong_GB2312"/>
          <w:sz w:val="32"/>
          <w:szCs w:val="24"/>
        </w:rPr>
        <w:t>产品原料利用率</w:t>
      </w:r>
      <w:r>
        <w:rPr>
          <w:rFonts w:hint="eastAsia" w:ascii="FangSong_GB2312" w:hAnsi="FangSong_GB2312" w:eastAsia="FangSong_GB2312"/>
          <w:sz w:val="32"/>
          <w:szCs w:val="24"/>
          <w:lang w:eastAsia="zh-CN"/>
        </w:rPr>
        <w:t>等指标</w:t>
      </w:r>
      <w:r>
        <w:rPr>
          <w:rFonts w:hint="eastAsia" w:ascii="FangSong_GB2312" w:hAnsi="FangSong_GB2312" w:eastAsia="FangSong_GB2312"/>
          <w:sz w:val="32"/>
          <w:szCs w:val="24"/>
        </w:rPr>
        <w:t>未达到《目录》相关技术标准和条件，存在违规享受相关退税优惠的风险。</w:t>
      </w:r>
    </w:p>
    <w:p>
      <w:pPr>
        <w:spacing w:beforeLines="0" w:afterLines="0"/>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未按规定分别单独核算征、免税项目的进项税额风险。</w:t>
      </w:r>
      <w:r>
        <w:rPr>
          <w:rFonts w:hint="eastAsia" w:ascii="FangSong_GB2312" w:hAnsi="FangSong_GB2312" w:eastAsia="FangSong_GB2312"/>
          <w:sz w:val="32"/>
          <w:szCs w:val="24"/>
        </w:rPr>
        <w:t>纳税人可能存在利用免税项目的进项税额从销项税额中予以抵扣的风险。</w:t>
      </w:r>
      <w:bookmarkStart w:id="0" w:name="_GoBack"/>
      <w:bookmarkEnd w:id="0"/>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FangSong_GB2312">
    <w:altName w:val="仿宋"/>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C03374D"/>
    <w:rsid w:val="3E7624E9"/>
    <w:rsid w:val="449463BB"/>
    <w:rsid w:val="4F4D70FF"/>
    <w:rsid w:val="65484C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2021-06-07T01:09:00Z</dcterms:created>
  <dc:creator>Administrator</dc:creator>
  <cp:lastModifiedBy>童海鹏</cp:lastModifiedBy>
  <dcterms:modified xsi:type="dcterms:W3CDTF">2025-10-13T01:07:34Z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