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color w:val="000000"/>
          <w:kern w:val="0"/>
          <w:sz w:val="32"/>
          <w:szCs w:val="32"/>
          <w:lang w:val="en-US" w:eastAsia="zh-CN" w:bidi="ar"/>
        </w:rPr>
      </w:pPr>
      <w:bookmarkStart w:id="0" w:name="_GoBack"/>
      <w:bookmarkEnd w:id="0"/>
      <w:r>
        <w:rPr>
          <w:rFonts w:hint="eastAsia" w:ascii="黑体" w:hAnsi="黑体" w:eastAsia="黑体" w:cs="黑体"/>
          <w:color w:val="000000"/>
          <w:kern w:val="0"/>
          <w:sz w:val="32"/>
          <w:szCs w:val="32"/>
          <w:lang w:eastAsia="zh-CN" w:bidi="ar"/>
        </w:rPr>
        <w:t>附件</w:t>
      </w:r>
      <w:r>
        <w:rPr>
          <w:rFonts w:hint="eastAsia" w:ascii="黑体" w:hAnsi="黑体" w:eastAsia="黑体" w:cs="黑体"/>
          <w:color w:val="000000"/>
          <w:kern w:val="0"/>
          <w:sz w:val="32"/>
          <w:szCs w:val="32"/>
          <w:lang w:val="en-US" w:eastAsia="zh-CN" w:bidi="ar"/>
        </w:rPr>
        <w:t>3</w:t>
      </w:r>
    </w:p>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color w:val="000000"/>
          <w:kern w:val="0"/>
          <w:sz w:val="32"/>
          <w:szCs w:val="32"/>
          <w:lang w:bidi="ar"/>
        </w:rPr>
        <w:t>离岸信托清算个人所得税报告表</w:t>
      </w:r>
    </w:p>
    <w:tbl>
      <w:tblPr>
        <w:tblStyle w:val="4"/>
        <w:tblW w:w="8305" w:type="dxa"/>
        <w:tblInd w:w="108" w:type="dxa"/>
        <w:tblLayout w:type="fixed"/>
        <w:tblCellMar>
          <w:top w:w="0" w:type="dxa"/>
          <w:left w:w="108" w:type="dxa"/>
          <w:bottom w:w="0" w:type="dxa"/>
          <w:right w:w="108" w:type="dxa"/>
        </w:tblCellMar>
      </w:tblPr>
      <w:tblGrid>
        <w:gridCol w:w="929"/>
        <w:gridCol w:w="3193"/>
        <w:gridCol w:w="4183"/>
      </w:tblGrid>
      <w:tr>
        <w:trPr>
          <w:trHeight w:val="360"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所属纳税年度：</w:t>
            </w:r>
          </w:p>
        </w:tc>
        <w:tc>
          <w:tcPr>
            <w:tcW w:w="4183" w:type="dxa"/>
            <w:tcBorders>
              <w:top w:val="nil"/>
              <w:left w:val="nil"/>
              <w:bottom w:val="nil"/>
              <w:right w:val="nil"/>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00"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w:t>
            </w:r>
            <w:r>
              <w:rPr>
                <w:rFonts w:hint="eastAsia" w:ascii="宋体" w:hAnsi="宋体" w:cs="宋体"/>
                <w:color w:val="000000"/>
                <w:kern w:val="0"/>
                <w:sz w:val="22"/>
                <w:szCs w:val="22"/>
                <w:lang w:eastAsia="zh-CN" w:bidi="ar"/>
              </w:rPr>
              <w:t>姓名</w:t>
            </w:r>
            <w:r>
              <w:rPr>
                <w:rFonts w:hint="eastAsia" w:ascii="宋体" w:hAnsi="宋体" w:cs="宋体"/>
                <w:color w:val="000000"/>
                <w:kern w:val="0"/>
                <w:sz w:val="22"/>
                <w:szCs w:val="22"/>
                <w:lang w:bidi="ar"/>
              </w:rPr>
              <w:t>：</w:t>
            </w:r>
          </w:p>
        </w:tc>
        <w:tc>
          <w:tcPr>
            <w:tcW w:w="4183" w:type="dxa"/>
            <w:tcBorders>
              <w:top w:val="nil"/>
              <w:left w:val="nil"/>
              <w:bottom w:val="nil"/>
              <w:right w:val="nil"/>
            </w:tcBorders>
            <w:noWrap/>
            <w:tcMar>
              <w:left w:w="108" w:type="dxa"/>
              <w:right w:w="108" w:type="dxa"/>
            </w:tcMar>
            <w:vAlign w:val="center"/>
          </w:tcPr>
          <w:p>
            <w:pPr>
              <w:rPr>
                <w:rFonts w:hint="eastAsia" w:ascii="宋体" w:hAnsi="宋体" w:cs="宋体"/>
                <w:color w:val="000000"/>
                <w:sz w:val="22"/>
                <w:szCs w:val="22"/>
              </w:rPr>
            </w:pPr>
          </w:p>
        </w:tc>
      </w:tr>
      <w:tr>
        <w:trPr>
          <w:trHeight w:val="520"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纳税人识别号：</w:t>
            </w:r>
          </w:p>
        </w:tc>
        <w:tc>
          <w:tcPr>
            <w:tcW w:w="4183" w:type="dxa"/>
            <w:tcBorders>
              <w:top w:val="nil"/>
              <w:left w:val="nil"/>
              <w:bottom w:val="nil"/>
              <w:right w:val="nil"/>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00"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纳税人身份类型：</w:t>
            </w:r>
          </w:p>
        </w:tc>
        <w:tc>
          <w:tcPr>
            <w:tcW w:w="4183" w:type="dxa"/>
            <w:tcBorders>
              <w:top w:val="nil"/>
              <w:left w:val="nil"/>
              <w:bottom w:val="nil"/>
              <w:right w:val="nil"/>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□将财产装入离岸信托的居民个人 </w:t>
            </w:r>
          </w:p>
        </w:tc>
      </w:tr>
      <w:tr>
        <w:tblPrEx>
          <w:tblCellMar>
            <w:top w:w="0" w:type="dxa"/>
            <w:left w:w="108" w:type="dxa"/>
            <w:bottom w:w="0" w:type="dxa"/>
            <w:right w:w="108" w:type="dxa"/>
          </w:tblCellMar>
        </w:tblPrEx>
        <w:trPr>
          <w:trHeight w:val="363"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由离岸信托受托人代为申报缴税</w:t>
            </w:r>
            <w:r>
              <w:rPr>
                <w:rFonts w:hint="eastAsia" w:ascii="宋体" w:hAnsi="宋体" w:cs="宋体"/>
                <w:color w:val="000000"/>
                <w:kern w:val="0"/>
                <w:sz w:val="22"/>
                <w:szCs w:val="22"/>
                <w:lang w:eastAsia="zh-CN" w:bidi="ar"/>
              </w:rPr>
              <w:t>：</w:t>
            </w:r>
          </w:p>
        </w:tc>
        <w:tc>
          <w:tcPr>
            <w:tcW w:w="4183" w:type="dxa"/>
            <w:tcBorders>
              <w:top w:val="nil"/>
              <w:left w:val="nil"/>
              <w:bottom w:val="nil"/>
              <w:right w:val="nil"/>
            </w:tcBorders>
            <w:noWrap/>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□是 □否</w:t>
            </w:r>
          </w:p>
        </w:tc>
      </w:tr>
      <w:tr>
        <w:trPr>
          <w:trHeight w:val="598"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bidi="ar"/>
              </w:rPr>
              <w:t>由离岸信托受托人指定的境内机构代为申报缴税</w:t>
            </w:r>
            <w:r>
              <w:rPr>
                <w:rFonts w:hint="eastAsia" w:ascii="宋体" w:hAnsi="宋体" w:cs="宋体"/>
                <w:color w:val="000000"/>
                <w:kern w:val="0"/>
                <w:sz w:val="22"/>
                <w:szCs w:val="22"/>
                <w:lang w:eastAsia="zh-CN" w:bidi="ar"/>
              </w:rPr>
              <w:t>：</w:t>
            </w:r>
          </w:p>
        </w:tc>
        <w:tc>
          <w:tcPr>
            <w:tcW w:w="4183" w:type="dxa"/>
            <w:tcBorders>
              <w:top w:val="nil"/>
              <w:left w:val="nil"/>
              <w:bottom w:val="nil"/>
              <w:right w:val="nil"/>
            </w:tcBorders>
            <w:noWrap/>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□是 □否</w:t>
            </w:r>
          </w:p>
        </w:tc>
      </w:tr>
      <w:tr>
        <w:tblPrEx>
          <w:tblCellMar>
            <w:top w:w="0" w:type="dxa"/>
            <w:left w:w="108" w:type="dxa"/>
            <w:bottom w:w="0" w:type="dxa"/>
            <w:right w:w="108" w:type="dxa"/>
          </w:tblCellMar>
        </w:tblPrEx>
        <w:trPr>
          <w:trHeight w:val="344"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受托人或其指定的境内机构名称：</w:t>
            </w:r>
          </w:p>
        </w:tc>
        <w:tc>
          <w:tcPr>
            <w:tcW w:w="4183" w:type="dxa"/>
            <w:tcBorders>
              <w:top w:val="nil"/>
              <w:left w:val="nil"/>
              <w:bottom w:val="nil"/>
              <w:right w:val="nil"/>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440"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受托人或其指定的境内机构纳税人识别号：</w:t>
            </w:r>
          </w:p>
        </w:tc>
        <w:tc>
          <w:tcPr>
            <w:tcW w:w="4183" w:type="dxa"/>
            <w:tcBorders>
              <w:top w:val="nil"/>
              <w:left w:val="nil"/>
              <w:bottom w:val="nil"/>
              <w:right w:val="nil"/>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440" w:hRule="atLeast"/>
        </w:trPr>
        <w:tc>
          <w:tcPr>
            <w:tcW w:w="8305" w:type="dxa"/>
            <w:gridSpan w:val="3"/>
            <w:tcBorders>
              <w:top w:val="nil"/>
              <w:left w:val="nil"/>
              <w:bottom w:val="nil"/>
              <w:right w:val="nil"/>
            </w:tcBorders>
            <w:noWrap/>
            <w:tcMar>
              <w:left w:w="108" w:type="dxa"/>
              <w:right w:w="108" w:type="dxa"/>
            </w:tcMar>
            <w:vAlign w:val="center"/>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bidi="ar"/>
              </w:rPr>
              <w:t>报送时间：</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bidi="ar"/>
              </w:rPr>
              <w:t>离岸信托编码：</w:t>
            </w:r>
            <w:r>
              <w:rPr>
                <w:rFonts w:hint="eastAsia" w:ascii="宋体" w:hAnsi="宋体" w:cs="宋体"/>
                <w:color w:val="000000"/>
                <w:kern w:val="0"/>
                <w:sz w:val="22"/>
                <w:szCs w:val="22"/>
                <w:lang w:eastAsia="zh-CN" w:bidi="ar"/>
              </w:rPr>
              <w:t>（系统带入）</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bidi="ar"/>
              </w:rPr>
              <w:t>金额单位：人民币元（列至角分）</w:t>
            </w:r>
          </w:p>
        </w:tc>
      </w:tr>
      <w:tr>
        <w:tblPrEx>
          <w:tblCellMar>
            <w:top w:w="0" w:type="dxa"/>
            <w:left w:w="108" w:type="dxa"/>
            <w:bottom w:w="0" w:type="dxa"/>
            <w:right w:w="108" w:type="dxa"/>
          </w:tblCellMar>
        </w:tblPrEx>
        <w:trPr>
          <w:trHeight w:val="420" w:hRule="atLeast"/>
        </w:trPr>
        <w:tc>
          <w:tcPr>
            <w:tcW w:w="830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离岸信托基础信息</w:t>
            </w: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离岸信托名称（英文）</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离岸信托名称（中文）</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13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清算类型</w:t>
            </w:r>
          </w:p>
        </w:tc>
        <w:tc>
          <w:tcPr>
            <w:tcW w:w="41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□离岸信托终止    </w:t>
            </w:r>
          </w:p>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离岸信托终止日期：  年  月  日</w:t>
            </w:r>
          </w:p>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eastAsia="zh-CN" w:bidi="ar"/>
              </w:rPr>
              <w:t>清算完成日期：</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bidi="ar"/>
              </w:rPr>
              <w:t xml:space="preserve">  年  月  日</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□将财产装入离岸信托的居民个人死亡    </w:t>
            </w:r>
          </w:p>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居民个人死亡日期： 年  月  日</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□将财产装入离岸信托的居民个人转为非居民个人  </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转为非居民个人日期： 年  月  日</w:t>
            </w:r>
          </w:p>
        </w:tc>
      </w:tr>
      <w:tr>
        <w:trPr>
          <w:trHeight w:val="420" w:hRule="atLeast"/>
        </w:trPr>
        <w:tc>
          <w:tcPr>
            <w:tcW w:w="929"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装入人信息</w:t>
            </w: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装入人</w:t>
            </w:r>
            <w:r>
              <w:rPr>
                <w:rFonts w:hint="eastAsia" w:ascii="宋体" w:hAnsi="宋体" w:cs="宋体"/>
                <w:color w:val="000000"/>
                <w:kern w:val="0"/>
                <w:sz w:val="22"/>
                <w:szCs w:val="22"/>
                <w:lang w:eastAsia="zh-CN" w:bidi="ar"/>
              </w:rPr>
              <w:t>姓名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装入人纳税人识别号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装入人联系地址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装入人联系电话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装入人电子邮件地址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rPr>
          <w:trHeight w:val="7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装入人离岸信托相关金融账户开户金融机构名称</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rPr>
          <w:trHeight w:val="6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装入人离岸信托相关金融账户名</w:t>
            </w:r>
            <w:r>
              <w:rPr>
                <w:rFonts w:hint="eastAsia" w:ascii="宋体" w:hAnsi="宋体" w:cs="宋体"/>
                <w:color w:val="000000"/>
                <w:kern w:val="0"/>
                <w:sz w:val="22"/>
                <w:szCs w:val="22"/>
                <w:lang w:eastAsia="zh-CN" w:bidi="ar"/>
              </w:rPr>
              <w:t>称</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rPr>
          <w:trHeight w:val="54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装入人离岸信托相关金融账户账号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rPr>
          <w:trHeight w:val="66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装入人占有离岸信托财产市场价值的比例</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val="en-US" w:eastAsia="zh-CN" w:bidi="ar"/>
              </w:rPr>
              <w:t>%</w:t>
            </w:r>
            <w:r>
              <w:rPr>
                <w:rFonts w:hint="eastAsia" w:ascii="宋体" w:hAnsi="宋体" w:cs="宋体"/>
                <w:color w:val="000000"/>
                <w:kern w:val="0"/>
                <w:sz w:val="22"/>
                <w:szCs w:val="22"/>
                <w:lang w:eastAsia="zh-CN" w:bidi="ar"/>
              </w:rPr>
              <w:t>）</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w:t>
            </w:r>
          </w:p>
        </w:tc>
      </w:tr>
      <w:tr>
        <w:trPr>
          <w:trHeight w:val="840" w:hRule="atLeast"/>
        </w:trPr>
        <w:tc>
          <w:tcPr>
            <w:tcW w:w="929"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承继离岸信托相关权益的非居民个人信息</w:t>
            </w: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装入人死亡后是否存在非居民个人承继离岸信托相关权益</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CellMar>
            <w:top w:w="0" w:type="dxa"/>
            <w:left w:w="108" w:type="dxa"/>
            <w:bottom w:w="0" w:type="dxa"/>
            <w:right w:w="108" w:type="dxa"/>
          </w:tblCellMar>
        </w:tblPrEx>
        <w:trPr>
          <w:trHeight w:val="600" w:hRule="atLeast"/>
        </w:trPr>
        <w:tc>
          <w:tcPr>
            <w:tcW w:w="929" w:type="dxa"/>
            <w:vMerge w:val="continue"/>
            <w:tcBorders>
              <w:left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承继离岸信托相关权益的非居民个人姓名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600" w:hRule="atLeast"/>
        </w:trPr>
        <w:tc>
          <w:tcPr>
            <w:tcW w:w="929" w:type="dxa"/>
            <w:vMerge w:val="continue"/>
            <w:tcBorders>
              <w:left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承继离岸信托相关权益的非居民个人纳税人识别号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90" w:hRule="atLeast"/>
        </w:trPr>
        <w:tc>
          <w:tcPr>
            <w:tcW w:w="929"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929"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受托人信息</w:t>
            </w: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受托人名称</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受托人身份</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□居民企业 □非居民企业 □其他</w:t>
            </w:r>
          </w:p>
        </w:tc>
      </w:tr>
      <w:tr>
        <w:tblPrEx>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受托人纳税人识别号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受托人注册的国家或地区</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受托人注册地址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受托人电子邮件地址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受托人联系人姓名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受托人联系人电话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受托人联系人电子邮件地址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84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受托人是否指定境内机构代理报送相关信息</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境内机构名称</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50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境内机构纳税人识别号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境内机构联系电话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77"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境内机构电子邮件地址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4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境内机构联系人姓名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9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境内机构联系人电话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77"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境内机构联系人电子邮件地址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929"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受益人信息</w:t>
            </w: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受益人身份</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□居民企业 □非居民企业 □居民个人</w:t>
            </w:r>
          </w:p>
          <w:p>
            <w:pPr>
              <w:widowControl/>
              <w:jc w:val="center"/>
              <w:textAlignment w:val="center"/>
              <w:rPr>
                <w:rFonts w:hint="default" w:ascii="宋体" w:hAnsi="宋体" w:cs="宋体"/>
                <w:color w:val="000000"/>
                <w:sz w:val="22"/>
                <w:szCs w:val="22"/>
                <w:lang w:val="en-US"/>
              </w:rPr>
            </w:pPr>
            <w:r>
              <w:rPr>
                <w:rFonts w:hint="eastAsia" w:ascii="宋体" w:hAnsi="宋体" w:cs="宋体"/>
                <w:color w:val="000000"/>
                <w:kern w:val="0"/>
                <w:sz w:val="22"/>
                <w:szCs w:val="22"/>
                <w:lang w:bidi="ar"/>
              </w:rPr>
              <w:t xml:space="preserve"> </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非居民个人</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val="en-US" w:eastAsia="zh-CN" w:bidi="ar"/>
              </w:rPr>
              <w:t>其他</w:t>
            </w:r>
            <w:r>
              <w:rPr>
                <w:rFonts w:hint="eastAsia" w:ascii="宋体" w:hAnsi="宋体" w:cs="宋体"/>
                <w:color w:val="000000"/>
                <w:kern w:val="0"/>
                <w:sz w:val="22"/>
                <w:szCs w:val="22"/>
                <w:u w:val="single"/>
                <w:lang w:val="en-US" w:eastAsia="zh-CN" w:bidi="ar"/>
              </w:rPr>
              <w:t xml:space="preserve">  </w:t>
            </w:r>
          </w:p>
        </w:tc>
      </w:tr>
      <w:tr>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受益人名称</w:t>
            </w:r>
            <w:r>
              <w:rPr>
                <w:rFonts w:hint="eastAsia" w:ascii="宋体" w:hAnsi="宋体" w:cs="宋体"/>
                <w:color w:val="000000"/>
                <w:kern w:val="0"/>
                <w:sz w:val="22"/>
                <w:szCs w:val="22"/>
                <w:lang w:eastAsia="zh-CN" w:bidi="ar"/>
              </w:rPr>
              <w:t>（姓名）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受益人纳税人识别号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受益人联系电话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受益人电子邮件地址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66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受益人离岸信托</w:t>
            </w:r>
            <w:r>
              <w:rPr>
                <w:rFonts w:hint="eastAsia" w:ascii="宋体" w:hAnsi="宋体" w:cs="宋体"/>
                <w:color w:val="000000"/>
                <w:kern w:val="0"/>
                <w:sz w:val="22"/>
                <w:szCs w:val="22"/>
                <w:lang w:eastAsia="zh-CN" w:bidi="ar"/>
              </w:rPr>
              <w:t>相关</w:t>
            </w:r>
            <w:r>
              <w:rPr>
                <w:rFonts w:hint="eastAsia" w:ascii="宋体" w:hAnsi="宋体" w:cs="宋体"/>
                <w:color w:val="000000"/>
                <w:kern w:val="0"/>
                <w:sz w:val="22"/>
                <w:szCs w:val="22"/>
                <w:lang w:bidi="ar"/>
              </w:rPr>
              <w:t>金融账户开户金融机构名称</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929"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受益人离岸信托</w:t>
            </w:r>
            <w:r>
              <w:rPr>
                <w:rFonts w:hint="eastAsia" w:ascii="宋体" w:hAnsi="宋体" w:cs="宋体"/>
                <w:color w:val="000000"/>
                <w:kern w:val="0"/>
                <w:sz w:val="22"/>
                <w:szCs w:val="22"/>
                <w:lang w:eastAsia="zh-CN" w:bidi="ar"/>
              </w:rPr>
              <w:t>相关</w:t>
            </w:r>
            <w:r>
              <w:rPr>
                <w:rFonts w:hint="eastAsia" w:ascii="宋体" w:hAnsi="宋体" w:cs="宋体"/>
                <w:color w:val="000000"/>
                <w:kern w:val="0"/>
                <w:sz w:val="22"/>
                <w:szCs w:val="22"/>
                <w:lang w:bidi="ar"/>
              </w:rPr>
              <w:t>金融账户名</w:t>
            </w:r>
            <w:r>
              <w:rPr>
                <w:rFonts w:hint="eastAsia" w:ascii="宋体" w:hAnsi="宋体" w:cs="宋体"/>
                <w:color w:val="000000"/>
                <w:kern w:val="0"/>
                <w:sz w:val="22"/>
                <w:szCs w:val="22"/>
                <w:lang w:eastAsia="zh-CN" w:bidi="ar"/>
              </w:rPr>
              <w:t>称</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929" w:type="dxa"/>
            <w:vMerge w:val="continue"/>
            <w:tcBorders>
              <w:left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受益人离岸信托</w:t>
            </w:r>
            <w:r>
              <w:rPr>
                <w:rFonts w:hint="eastAsia" w:ascii="宋体" w:hAnsi="宋体" w:cs="宋体"/>
                <w:color w:val="000000"/>
                <w:kern w:val="0"/>
                <w:sz w:val="22"/>
                <w:szCs w:val="22"/>
                <w:lang w:eastAsia="zh-CN" w:bidi="ar"/>
              </w:rPr>
              <w:t>相关</w:t>
            </w:r>
            <w:r>
              <w:rPr>
                <w:rFonts w:hint="eastAsia" w:ascii="宋体" w:hAnsi="宋体" w:cs="宋体"/>
                <w:color w:val="000000"/>
                <w:kern w:val="0"/>
                <w:sz w:val="22"/>
                <w:szCs w:val="22"/>
                <w:lang w:bidi="ar"/>
              </w:rPr>
              <w:t>金融账户账号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929" w:type="dxa"/>
            <w:vMerge w:val="continue"/>
            <w:tcBorders>
              <w:left w:val="single" w:color="000000" w:sz="4" w:space="0"/>
              <w:bottom w:val="single" w:color="000000" w:sz="4" w:space="0"/>
              <w:right w:val="single" w:color="000000" w:sz="4" w:space="0"/>
            </w:tcBorders>
            <w:noWrap/>
            <w:tcMar>
              <w:left w:w="108" w:type="dxa"/>
              <w:right w:w="108" w:type="dxa"/>
            </w:tcMar>
            <w:vAlign w:val="bottom"/>
          </w:tcPr>
          <w:p>
            <w:pP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1000" w:hRule="atLeast"/>
        </w:trPr>
        <w:tc>
          <w:tcPr>
            <w:tcW w:w="830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当年1月1日</w:t>
            </w:r>
            <w:r>
              <w:rPr>
                <w:rFonts w:hint="eastAsia" w:ascii="宋体" w:hAnsi="宋体" w:cs="宋体"/>
                <w:color w:val="000000"/>
                <w:kern w:val="0"/>
                <w:sz w:val="22"/>
                <w:szCs w:val="22"/>
                <w:lang w:eastAsia="zh-CN" w:bidi="ar"/>
              </w:rPr>
              <w:t>至</w:t>
            </w:r>
            <w:r>
              <w:rPr>
                <w:rFonts w:hint="eastAsia" w:ascii="宋体" w:hAnsi="宋体" w:cs="宋体"/>
                <w:color w:val="000000"/>
                <w:kern w:val="0"/>
                <w:sz w:val="22"/>
                <w:szCs w:val="22"/>
                <w:lang w:bidi="ar"/>
              </w:rPr>
              <w:t>清算日</w:t>
            </w:r>
            <w:r>
              <w:rPr>
                <w:rFonts w:hint="eastAsia" w:ascii="宋体" w:hAnsi="宋体" w:cs="宋体"/>
                <w:color w:val="000000"/>
                <w:kern w:val="0"/>
                <w:sz w:val="22"/>
                <w:szCs w:val="22"/>
                <w:lang w:eastAsia="zh-CN" w:bidi="ar"/>
              </w:rPr>
              <w:t>期间</w:t>
            </w:r>
            <w:r>
              <w:rPr>
                <w:rFonts w:hint="eastAsia" w:ascii="宋体" w:hAnsi="宋体" w:cs="宋体"/>
                <w:color w:val="000000"/>
                <w:kern w:val="0"/>
                <w:sz w:val="22"/>
                <w:szCs w:val="22"/>
                <w:lang w:bidi="ar"/>
              </w:rPr>
              <w:t>收益情况</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w:t>
            </w:r>
            <w:r>
              <w:rPr>
                <w:rFonts w:hint="eastAsia" w:ascii="宋体" w:hAnsi="宋体" w:cs="宋体"/>
                <w:color w:val="000000"/>
                <w:kern w:val="0"/>
                <w:sz w:val="22"/>
                <w:szCs w:val="22"/>
                <w:lang w:eastAsia="zh-CN" w:bidi="ar"/>
              </w:rPr>
              <w:t>清算日是指</w:t>
            </w:r>
            <w:r>
              <w:rPr>
                <w:rFonts w:hint="eastAsia" w:ascii="宋体" w:hAnsi="宋体" w:cs="宋体"/>
                <w:color w:val="000000"/>
                <w:kern w:val="0"/>
                <w:sz w:val="22"/>
                <w:szCs w:val="22"/>
                <w:lang w:bidi="ar"/>
              </w:rPr>
              <w:t>离岸信托终止</w:t>
            </w:r>
            <w:r>
              <w:rPr>
                <w:rFonts w:hint="eastAsia" w:ascii="宋体" w:hAnsi="宋体" w:cs="宋体"/>
                <w:color w:val="000000"/>
                <w:kern w:val="0"/>
                <w:sz w:val="22"/>
                <w:szCs w:val="22"/>
                <w:lang w:eastAsia="zh-CN" w:bidi="ar"/>
              </w:rPr>
              <w:t>之</w:t>
            </w:r>
            <w:r>
              <w:rPr>
                <w:rFonts w:hint="eastAsia" w:ascii="宋体" w:hAnsi="宋体" w:cs="宋体"/>
                <w:color w:val="000000"/>
                <w:kern w:val="0"/>
                <w:sz w:val="22"/>
                <w:szCs w:val="22"/>
                <w:lang w:bidi="ar"/>
              </w:rPr>
              <w:t>日</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装入财产的居民个人转为非居民个人之日</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装入财产</w:t>
            </w:r>
            <w:r>
              <w:rPr>
                <w:rFonts w:hint="eastAsia" w:ascii="宋体" w:hAnsi="宋体" w:cs="宋体"/>
                <w:color w:val="000000"/>
                <w:kern w:val="0"/>
                <w:sz w:val="22"/>
                <w:szCs w:val="22"/>
                <w:lang w:eastAsia="zh-CN" w:bidi="ar"/>
              </w:rPr>
              <w:t>的</w:t>
            </w:r>
            <w:r>
              <w:rPr>
                <w:rFonts w:hint="eastAsia" w:ascii="宋体" w:hAnsi="宋体" w:cs="宋体"/>
                <w:color w:val="000000"/>
                <w:kern w:val="0"/>
                <w:sz w:val="22"/>
                <w:szCs w:val="22"/>
                <w:lang w:bidi="ar"/>
              </w:rPr>
              <w:t>居民个人死亡之日）</w:t>
            </w: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年初离岸信托资产余额合计</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220" w:firstLineChars="100"/>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其中：现金</w:t>
            </w:r>
            <w:r>
              <w:rPr>
                <w:rFonts w:hint="eastAsia" w:ascii="宋体" w:hAnsi="宋体" w:cs="宋体"/>
                <w:color w:val="000000"/>
                <w:kern w:val="0"/>
                <w:sz w:val="22"/>
                <w:szCs w:val="22"/>
                <w:lang w:eastAsia="zh-CN" w:bidi="ar"/>
              </w:rPr>
              <w:t>（存款）</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43"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        股权（票）、合伙企业份额类</w:t>
            </w:r>
          </w:p>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债权（券）类资产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清算日离岸信托资产余额合计</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220" w:firstLineChars="100"/>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其中：现金</w:t>
            </w:r>
            <w:r>
              <w:rPr>
                <w:rFonts w:hint="eastAsia" w:ascii="宋体" w:hAnsi="宋体" w:cs="宋体"/>
                <w:color w:val="000000"/>
                <w:kern w:val="0"/>
                <w:sz w:val="22"/>
                <w:szCs w:val="22"/>
                <w:lang w:eastAsia="zh-CN" w:bidi="ar"/>
              </w:rPr>
              <w:t>（存款）</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6"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 </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bidi="ar"/>
              </w:rPr>
              <w:t>股权（票）、合伙企业份额类</w:t>
            </w:r>
          </w:p>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债权（券）类资产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离岸信托财产转让所得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44" w:hRule="atLeast"/>
        </w:trPr>
        <w:tc>
          <w:tcPr>
            <w:tcW w:w="4122"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其中：境外实体财产转让所得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74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离岸信托及其境外实体以分配、赠与、划转、低价转让等方式转移离岸信托财产的</w:t>
            </w:r>
            <w:r>
              <w:rPr>
                <w:rFonts w:hint="eastAsia" w:ascii="宋体" w:hAnsi="宋体" w:cs="宋体"/>
                <w:color w:val="000000"/>
                <w:kern w:val="0"/>
                <w:sz w:val="22"/>
                <w:szCs w:val="22"/>
                <w:lang w:eastAsia="zh-CN" w:bidi="ar"/>
              </w:rPr>
              <w:t>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500" w:hRule="atLeast"/>
        </w:trPr>
        <w:tc>
          <w:tcPr>
            <w:tcW w:w="4122"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离岸信托利息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股息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红利所得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13" w:hRule="atLeast"/>
        </w:trPr>
        <w:tc>
          <w:tcPr>
            <w:tcW w:w="4122"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其中：境外实体利息、股息、红利所得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纳税人财产转让所得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纳税人利息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股息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红利所得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542" w:hRule="atLeast"/>
        </w:trPr>
        <w:tc>
          <w:tcPr>
            <w:tcW w:w="830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清算收益</w:t>
            </w: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清算日离岸信托财产市场价值合计</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其中：现金</w:t>
            </w:r>
            <w:r>
              <w:rPr>
                <w:rFonts w:hint="eastAsia" w:ascii="宋体" w:hAnsi="宋体" w:cs="宋体"/>
                <w:color w:val="000000"/>
                <w:kern w:val="0"/>
                <w:sz w:val="22"/>
                <w:szCs w:val="22"/>
                <w:lang w:eastAsia="zh-CN" w:bidi="ar"/>
              </w:rPr>
              <w:t>（存款）</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78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       股权（票）、合伙企业份额类</w:t>
            </w:r>
          </w:p>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债权（券）类资产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清算日离岸信托财产的原值</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220" w:firstLineChars="1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其中：现金</w:t>
            </w:r>
            <w:r>
              <w:rPr>
                <w:rFonts w:hint="eastAsia" w:ascii="宋体" w:hAnsi="宋体" w:cs="宋体"/>
                <w:color w:val="000000"/>
                <w:kern w:val="0"/>
                <w:sz w:val="22"/>
                <w:szCs w:val="22"/>
                <w:lang w:eastAsia="zh-CN" w:bidi="ar"/>
              </w:rPr>
              <w:t>（存款）</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583"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        股权（票）、合伙企业份额类</w:t>
            </w:r>
          </w:p>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债权（券）类资产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清算费用</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清算收益</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纳税人所占清算收益的比例</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830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分配信息</w:t>
            </w: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以前年度累计已分配收益</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年初累计未分配收益</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w:t>
            </w:r>
            <w:r>
              <w:rPr>
                <w:rFonts w:hint="eastAsia" w:ascii="宋体" w:hAnsi="宋体" w:cs="宋体"/>
                <w:color w:val="000000"/>
                <w:kern w:val="0"/>
                <w:sz w:val="22"/>
                <w:szCs w:val="22"/>
                <w:lang w:eastAsia="zh-CN" w:bidi="ar"/>
              </w:rPr>
              <w:t>末</w:t>
            </w:r>
            <w:r>
              <w:rPr>
                <w:rFonts w:hint="eastAsia" w:ascii="宋体" w:hAnsi="宋体" w:cs="宋体"/>
                <w:color w:val="000000"/>
                <w:kern w:val="0"/>
                <w:sz w:val="22"/>
                <w:szCs w:val="22"/>
                <w:lang w:bidi="ar"/>
              </w:rPr>
              <w:t>累计未分配收益</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当年是否向受益人分配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当年分配金额合计</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接受分配受益人名称</w:t>
            </w:r>
            <w:r>
              <w:rPr>
                <w:rFonts w:hint="eastAsia" w:ascii="宋体" w:hAnsi="宋体" w:cs="宋体"/>
                <w:color w:val="000000"/>
                <w:kern w:val="0"/>
                <w:sz w:val="22"/>
                <w:szCs w:val="22"/>
                <w:lang w:eastAsia="zh-CN" w:bidi="ar"/>
              </w:rPr>
              <w:t>（姓名）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接受分配受益人纳税人识别号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接受分配金额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其中：来源于中国境内的所得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受益人视同取得的收益金额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rPr>
          <w:trHeight w:val="863" w:hRule="atLeast"/>
        </w:trPr>
        <w:tc>
          <w:tcPr>
            <w:tcW w:w="8305" w:type="dxa"/>
            <w:gridSpan w:val="3"/>
            <w:tcBorders>
              <w:top w:val="single" w:color="000000" w:sz="4" w:space="0"/>
              <w:left w:val="single" w:color="000000" w:sz="4" w:space="0"/>
              <w:bottom w:val="single" w:color="000000" w:sz="4" w:space="0"/>
              <w:right w:val="single" w:color="000000" w:sz="4" w:space="0"/>
            </w:tcBorders>
            <w:noWrap/>
            <w:tcMar>
              <w:left w:w="108" w:type="dxa"/>
              <w:right w:w="108" w:type="dxa"/>
            </w:tcMar>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备注</w:t>
            </w:r>
          </w:p>
        </w:tc>
      </w:tr>
      <w:tr>
        <w:tblPrEx>
          <w:tblCellMar>
            <w:top w:w="0" w:type="dxa"/>
            <w:left w:w="108" w:type="dxa"/>
            <w:bottom w:w="0" w:type="dxa"/>
            <w:right w:w="108" w:type="dxa"/>
          </w:tblCellMar>
        </w:tblPrEx>
        <w:trPr>
          <w:trHeight w:val="1260" w:hRule="atLeast"/>
        </w:trPr>
        <w:tc>
          <w:tcPr>
            <w:tcW w:w="830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谨声明：本表根据国家税收法律法规相关规定填报，本人对填报内容及附列资料真实性、完整性和准确性负责。</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报送人签字：   年  月   日</w:t>
            </w:r>
          </w:p>
        </w:tc>
      </w:tr>
      <w:tr>
        <w:tblPrEx>
          <w:tblCellMar>
            <w:top w:w="0" w:type="dxa"/>
            <w:left w:w="108" w:type="dxa"/>
            <w:bottom w:w="0" w:type="dxa"/>
            <w:right w:w="108" w:type="dxa"/>
          </w:tblCellMar>
        </w:tblPrEx>
        <w:trPr>
          <w:trHeight w:val="81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经办人签字：</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经办人身份证件类型：</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经办人身份证件号码：</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代理机构签章：</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代理机构统一社会信用代码：</w:t>
            </w:r>
          </w:p>
        </w:tc>
        <w:tc>
          <w:tcPr>
            <w:tcW w:w="41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受理人：</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受理税务机关</w:t>
            </w:r>
            <w:r>
              <w:rPr>
                <w:rFonts w:hint="eastAsia" w:ascii="宋体" w:hAnsi="宋体" w:cs="宋体"/>
                <w:color w:val="000000"/>
                <w:kern w:val="0"/>
                <w:sz w:val="22"/>
                <w:szCs w:val="22"/>
                <w:lang w:eastAsia="zh-CN" w:bidi="ar"/>
              </w:rPr>
              <w:t>（章）</w:t>
            </w:r>
            <w:r>
              <w:rPr>
                <w:rFonts w:hint="eastAsia" w:ascii="宋体" w:hAnsi="宋体" w:cs="宋体"/>
                <w:color w:val="000000"/>
                <w:kern w:val="0"/>
                <w:sz w:val="22"/>
                <w:szCs w:val="22"/>
                <w:lang w:bidi="ar"/>
              </w:rPr>
              <w:t>：</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受理日期：   年   月   日</w:t>
            </w:r>
          </w:p>
        </w:tc>
      </w:tr>
    </w:tbl>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32"/>
          <w:szCs w:val="32"/>
        </w:rPr>
        <w:br w:type="page"/>
      </w:r>
      <w:r>
        <w:rPr>
          <w:rFonts w:hint="eastAsia" w:ascii="仿宋_GB2312" w:hAnsi="仿宋_GB2312" w:eastAsia="仿宋_GB2312" w:cs="仿宋_GB2312"/>
          <w:b/>
          <w:bCs/>
          <w:sz w:val="28"/>
          <w:szCs w:val="28"/>
        </w:rPr>
        <w:t>《离岸信托清算个人所得税报告表》填报说明</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一、适用范围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rPr>
        <w:t>本表适用于将财产装入离岸信托的居民个人转为非居民个人、居民个人将财产装入离岸信托终止、将财产装入离岸信托的居民个</w:t>
      </w:r>
      <w:r>
        <w:rPr>
          <w:rFonts w:hint="eastAsia" w:ascii="仿宋_GB2312" w:hAnsi="仿宋_GB2312" w:eastAsia="仿宋_GB2312" w:cs="仿宋_GB2312"/>
          <w:sz w:val="28"/>
          <w:szCs w:val="28"/>
          <w:highlight w:val="none"/>
        </w:rPr>
        <w:t>人死亡且离岸信托相关权益由其他非居民个人承继或无人承继，按照税法规定在办理纳税申报时填报。离岸信托是指依照境外法律规定设立的信托或具有信托功能的其他法律安排。</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二、报送期限</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eastAsia="仿宋_GB2312"/>
          <w:sz w:val="28"/>
          <w:szCs w:val="28"/>
        </w:rPr>
      </w:pPr>
      <w:r>
        <w:rPr>
          <w:rFonts w:hint="eastAsia" w:ascii="仿宋_GB2312" w:hAnsi="仿宋_GB2312" w:eastAsia="仿宋_GB2312" w:cs="仿宋_GB2312"/>
          <w:sz w:val="28"/>
          <w:szCs w:val="28"/>
        </w:rPr>
        <w:t>将财产装入离岸信托的居民个人转为非居民个人的，居民个人在转为非居民个人之日次月15日内向主管税务机关报送本表。居民个人将财产装入离岸信托终止的，居民个人</w:t>
      </w:r>
      <w:r>
        <w:rPr>
          <w:rFonts w:ascii="仿宋_GB2312" w:eastAsia="仿宋_GB2312"/>
          <w:sz w:val="28"/>
          <w:szCs w:val="28"/>
        </w:rPr>
        <w:t>在清算完成</w:t>
      </w:r>
      <w:r>
        <w:rPr>
          <w:rFonts w:hint="eastAsia" w:ascii="仿宋_GB2312" w:eastAsia="仿宋_GB2312"/>
          <w:sz w:val="28"/>
          <w:szCs w:val="28"/>
          <w:lang w:eastAsia="zh-CN"/>
        </w:rPr>
        <w:t>之日</w:t>
      </w:r>
      <w:r>
        <w:rPr>
          <w:rFonts w:ascii="仿宋_GB2312" w:eastAsia="仿宋_GB2312"/>
          <w:sz w:val="28"/>
          <w:szCs w:val="28"/>
        </w:rPr>
        <w:t>次月</w:t>
      </w:r>
      <w:r>
        <w:rPr>
          <w:rFonts w:hint="eastAsia" w:ascii="仿宋_GB2312" w:eastAsia="仿宋_GB2312"/>
          <w:sz w:val="28"/>
          <w:szCs w:val="28"/>
        </w:rPr>
        <w:t>1</w:t>
      </w:r>
      <w:r>
        <w:rPr>
          <w:rFonts w:ascii="仿宋_GB2312" w:eastAsia="仿宋_GB2312"/>
          <w:sz w:val="28"/>
          <w:szCs w:val="28"/>
        </w:rPr>
        <w:t>5日内向</w:t>
      </w:r>
      <w:r>
        <w:rPr>
          <w:rFonts w:hint="eastAsia" w:ascii="仿宋_GB2312" w:eastAsia="仿宋_GB2312"/>
          <w:sz w:val="28"/>
          <w:szCs w:val="28"/>
        </w:rPr>
        <w:t>主管</w:t>
      </w:r>
      <w:r>
        <w:rPr>
          <w:rFonts w:ascii="仿宋_GB2312" w:eastAsia="仿宋_GB2312"/>
          <w:sz w:val="28"/>
          <w:szCs w:val="28"/>
        </w:rPr>
        <w:t>税务机关报送</w:t>
      </w:r>
      <w:r>
        <w:rPr>
          <w:rFonts w:hint="eastAsia" w:ascii="仿宋_GB2312" w:eastAsia="仿宋_GB2312"/>
          <w:sz w:val="28"/>
          <w:szCs w:val="28"/>
        </w:rPr>
        <w:t>本表。</w:t>
      </w:r>
      <w:r>
        <w:rPr>
          <w:rFonts w:ascii="仿宋_GB2312" w:eastAsia="仿宋_GB2312"/>
          <w:sz w:val="28"/>
          <w:szCs w:val="28"/>
        </w:rPr>
        <w:t>居民个人将财产装入离岸信托后死亡</w:t>
      </w:r>
      <w:r>
        <w:rPr>
          <w:rFonts w:hint="eastAsia" w:ascii="仿宋_GB2312" w:eastAsia="仿宋_GB2312"/>
          <w:sz w:val="28"/>
          <w:szCs w:val="28"/>
        </w:rPr>
        <w:t>并且离岸信托由其他非居民个人承继或者无人承继</w:t>
      </w:r>
      <w:r>
        <w:rPr>
          <w:rFonts w:ascii="仿宋_GB2312" w:eastAsia="仿宋_GB2312"/>
          <w:sz w:val="28"/>
          <w:szCs w:val="28"/>
        </w:rPr>
        <w:t>的，离岸信托受托人</w:t>
      </w:r>
      <w:r>
        <w:rPr>
          <w:rFonts w:hint="eastAsia" w:ascii="仿宋_GB2312" w:eastAsia="仿宋_GB2312"/>
          <w:sz w:val="28"/>
          <w:szCs w:val="28"/>
        </w:rPr>
        <w:t>或其指定的境内机构（以下简称受托人）在居民个人死亡</w:t>
      </w:r>
      <w:r>
        <w:rPr>
          <w:rFonts w:ascii="仿宋_GB2312" w:eastAsia="仿宋_GB2312"/>
          <w:sz w:val="28"/>
          <w:szCs w:val="28"/>
        </w:rPr>
        <w:t>次月</w:t>
      </w:r>
      <w:r>
        <w:rPr>
          <w:rFonts w:hint="eastAsia" w:ascii="仿宋_GB2312" w:eastAsia="仿宋_GB2312"/>
          <w:sz w:val="28"/>
          <w:szCs w:val="28"/>
        </w:rPr>
        <w:t>1</w:t>
      </w:r>
      <w:r>
        <w:rPr>
          <w:rFonts w:ascii="仿宋_GB2312" w:eastAsia="仿宋_GB2312"/>
          <w:sz w:val="28"/>
          <w:szCs w:val="28"/>
        </w:rPr>
        <w:t>5日内向</w:t>
      </w:r>
      <w:r>
        <w:rPr>
          <w:rFonts w:hint="eastAsia" w:ascii="仿宋_GB2312" w:eastAsia="仿宋_GB2312"/>
          <w:sz w:val="28"/>
          <w:szCs w:val="28"/>
        </w:rPr>
        <w:t>主管</w:t>
      </w:r>
      <w:r>
        <w:rPr>
          <w:rFonts w:ascii="仿宋_GB2312" w:eastAsia="仿宋_GB2312"/>
          <w:sz w:val="28"/>
          <w:szCs w:val="28"/>
        </w:rPr>
        <w:t>税务机关报送</w:t>
      </w:r>
      <w:r>
        <w:rPr>
          <w:rFonts w:hint="eastAsia" w:ascii="仿宋_GB2312" w:eastAsia="仿宋_GB2312"/>
          <w:sz w:val="28"/>
          <w:szCs w:val="28"/>
        </w:rPr>
        <w:t>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三、本表各栏填写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1.所属纳税年度：将财产装入离岸信托的居民个人转为非居民个人的，填报转为非居民个人的纳税年度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居民个人将财产装入离岸信托终止的，填报离岸信托终止的纳税年度</w:t>
      </w:r>
      <w:r>
        <w:rPr>
          <w:rFonts w:hint="eastAsia" w:ascii="仿宋_GB2312" w:hAnsi="仿宋_GB2312" w:eastAsia="仿宋_GB2312" w:cs="仿宋_GB2312"/>
          <w:sz w:val="28"/>
          <w:szCs w:val="28"/>
          <w:lang w:eastAsia="zh-CN"/>
        </w:rPr>
        <w:t>。</w:t>
      </w:r>
      <w:r>
        <w:rPr>
          <w:rFonts w:ascii="仿宋_GB2312" w:eastAsia="仿宋_GB2312"/>
          <w:sz w:val="28"/>
          <w:szCs w:val="28"/>
        </w:rPr>
        <w:t>居民个人将财产装入离岸信托后死亡</w:t>
      </w:r>
      <w:r>
        <w:rPr>
          <w:rFonts w:hint="eastAsia" w:ascii="仿宋_GB2312" w:eastAsia="仿宋_GB2312"/>
          <w:sz w:val="28"/>
          <w:szCs w:val="28"/>
        </w:rPr>
        <w:t>并且离岸信托由其他非居民个人承继或者无人承继</w:t>
      </w:r>
      <w:r>
        <w:rPr>
          <w:rFonts w:ascii="仿宋_GB2312" w:eastAsia="仿宋_GB2312"/>
          <w:sz w:val="28"/>
          <w:szCs w:val="28"/>
        </w:rPr>
        <w:t>的，</w:t>
      </w:r>
      <w:r>
        <w:rPr>
          <w:rFonts w:hint="eastAsia" w:ascii="仿宋_GB2312" w:eastAsia="仿宋_GB2312"/>
          <w:sz w:val="28"/>
          <w:szCs w:val="28"/>
        </w:rPr>
        <w:t>填报死亡年度。</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2.纳税人</w:t>
      </w:r>
      <w:r>
        <w:rPr>
          <w:rFonts w:hint="eastAsia" w:ascii="仿宋_GB2312" w:hAnsi="仿宋_GB2312" w:eastAsia="仿宋_GB2312" w:cs="仿宋_GB2312"/>
          <w:sz w:val="28"/>
          <w:szCs w:val="28"/>
          <w:lang w:eastAsia="zh-CN"/>
        </w:rPr>
        <w:t>姓名</w:t>
      </w:r>
      <w:r>
        <w:rPr>
          <w:rFonts w:hint="eastAsia" w:ascii="仿宋_GB2312" w:hAnsi="仿宋_GB2312" w:eastAsia="仿宋_GB2312" w:cs="仿宋_GB2312"/>
          <w:sz w:val="28"/>
          <w:szCs w:val="28"/>
        </w:rPr>
        <w:t>：填写居民个人姓名。</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3.纳税人识别号：有中国公民身份号码的，填写中华人民共和国居民身份证上载明的“公民身份号码”；没有中国公民身份号码的，填写税务机关赋予的纳税人识别号。</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4.纳税人身份类型：根据纳税人情况勾选。</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5.信托基础信息：根据离岸信托协议等信息以及自身情形填报。</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清算日前收益情况：将财产装入离岸信托的居民个人转为非居民个人的，填报转为非居民个人当年1月1日至转为非居民个人之日期间的收益情况。居民个人将财产装入离岸信托终止的，填报离岸信托终止当年1月1日至离岸信托终止</w:t>
      </w:r>
      <w:r>
        <w:rPr>
          <w:rFonts w:hint="eastAsia" w:ascii="仿宋_GB2312" w:hAnsi="仿宋_GB2312" w:eastAsia="仿宋_GB2312" w:cs="仿宋_GB2312"/>
          <w:sz w:val="28"/>
          <w:szCs w:val="28"/>
          <w:lang w:eastAsia="zh-CN"/>
        </w:rPr>
        <w:t>之</w:t>
      </w:r>
      <w:r>
        <w:rPr>
          <w:rFonts w:hint="eastAsia" w:ascii="仿宋_GB2312" w:hAnsi="仿宋_GB2312" w:eastAsia="仿宋_GB2312" w:cs="仿宋_GB2312"/>
          <w:sz w:val="28"/>
          <w:szCs w:val="28"/>
        </w:rPr>
        <w:t>日期间产生的收益情况。将财产装入离岸信托的居民个人死亡且离岸信托相关权益由其他非居民个人承继或无人承继的，填报居民个人死亡当年1月1日至死亡之日期间的收益情况。</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7.清算收益：将财产装入离岸信托的居民个人转为非居民个人的，以转为非居民个人当日离岸信托财产的市场价值扣除原值后的余额计算。居民个人将财产装入离岸信托终止的，信托财产的清算收益为终止之</w:t>
      </w:r>
      <w:r>
        <w:rPr>
          <w:rFonts w:hint="eastAsia" w:ascii="仿宋_GB2312" w:hAnsi="仿宋_GB2312" w:eastAsia="仿宋_GB2312" w:cs="仿宋_GB2312"/>
          <w:sz w:val="28"/>
          <w:szCs w:val="28"/>
          <w:lang w:eastAsia="zh-CN"/>
        </w:rPr>
        <w:t>日</w:t>
      </w:r>
      <w:r>
        <w:rPr>
          <w:rFonts w:hint="eastAsia" w:ascii="仿宋_GB2312" w:hAnsi="仿宋_GB2312" w:eastAsia="仿宋_GB2312" w:cs="仿宋_GB2312"/>
          <w:sz w:val="28"/>
          <w:szCs w:val="28"/>
        </w:rPr>
        <w:t>信托财产的市场价值扣除财产原值以及合理费用后的余额计算。居民个人将财产装入离岸信托后死亡，离岸信托由其他非居民个人承继或者无人承继的，以死亡当日信托财产市场价值扣除原值后的余额计算。</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分配信息：将财产装入离岸信托的居民个人转为非居民个人、居民个人将财产装入离岸信托终止、将财产装入离岸信托的居民个人死亡且离岸信托相关权益由其他非居民个人承继或无人承继的，纳税人根据分配或取得分配所得的情况填报。</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9.</w:t>
      </w:r>
      <w:r>
        <w:rPr>
          <w:rFonts w:ascii="仿宋_GB2312" w:hAnsi="仿宋_GB2312" w:eastAsia="仿宋_GB2312" w:cs="仿宋_GB2312"/>
          <w:sz w:val="28"/>
          <w:szCs w:val="28"/>
        </w:rPr>
        <w:t>备注</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填写</w:t>
      </w:r>
      <w:r>
        <w:rPr>
          <w:rFonts w:hint="eastAsia" w:ascii="仿宋_GB2312" w:hAnsi="仿宋_GB2312" w:eastAsia="仿宋_GB2312" w:cs="仿宋_GB2312"/>
          <w:sz w:val="28"/>
          <w:szCs w:val="28"/>
          <w:lang w:eastAsia="zh-CN"/>
        </w:rPr>
        <w:t>纳税人、受托人</w:t>
      </w:r>
      <w:r>
        <w:rPr>
          <w:rFonts w:ascii="仿宋_GB2312" w:hAnsi="仿宋_GB2312" w:eastAsia="仿宋_GB2312" w:cs="仿宋_GB2312"/>
          <w:sz w:val="28"/>
          <w:szCs w:val="28"/>
        </w:rPr>
        <w:t>认为需要特别说明的或者按照有关规定需要说明的事项。</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ascii="仿宋_GB2312" w:hAnsi="仿宋_GB2312" w:eastAsia="仿宋_GB2312" w:cs="仿宋_GB2312"/>
          <w:b/>
          <w:bCs/>
          <w:sz w:val="28"/>
          <w:szCs w:val="28"/>
        </w:rPr>
      </w:pP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PAGE  \* MERGEFORMAT </w:instrText>
                          </w:r>
                          <w:r>
                            <w:rPr>
                              <w:rFonts w:hint="eastAsia" w:ascii="宋体" w:hAnsi="宋体" w:eastAsia="宋体" w:cs="宋体"/>
                              <w:b w:val="0"/>
                              <w:bCs w:val="0"/>
                            </w:rPr>
                            <w:fldChar w:fldCharType="separate"/>
                          </w:r>
                          <w:r>
                            <w:rPr>
                              <w:rFonts w:hint="eastAsia" w:ascii="宋体" w:hAnsi="宋体" w:eastAsia="宋体" w:cs="宋体"/>
                              <w:b w:val="0"/>
                              <w:bCs w:val="0"/>
                            </w:rPr>
                            <w:t>1</w:t>
                          </w:r>
                          <w:r>
                            <w:rPr>
                              <w:rFonts w:hint="eastAsia" w:ascii="宋体" w:hAnsi="宋体" w:eastAsia="宋体" w:cs="宋体"/>
                              <w:b w:val="0"/>
                              <w:bCs w:val="0"/>
                            </w:rP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REUCndAQAAvgMAAA4AAAAAAAAA&#10;AQAgAAAAHgEAAGRycy9lMm9Eb2MueG1sUEsFBgAAAAAGAAYAWQEAAG0FAAAAAA==&#10;">
              <v:fill on="f" focussize="0,0"/>
              <v:stroke on="f"/>
              <v:imagedata o:title=""/>
              <o:lock v:ext="edit" aspectratio="f"/>
              <v:textbox inset="0mm,0mm,0mm,0mm" style="mso-fit-shape-to-text:t;">
                <w:txbxContent>
                  <w:p>
                    <w:pPr>
                      <w:pStyle w:val="2"/>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PAGE  \* MERGEFORMAT </w:instrText>
                    </w:r>
                    <w:r>
                      <w:rPr>
                        <w:rFonts w:hint="eastAsia" w:ascii="宋体" w:hAnsi="宋体" w:eastAsia="宋体" w:cs="宋体"/>
                        <w:b w:val="0"/>
                        <w:bCs w:val="0"/>
                      </w:rPr>
                      <w:fldChar w:fldCharType="separate"/>
                    </w:r>
                    <w:r>
                      <w:rPr>
                        <w:rFonts w:hint="eastAsia" w:ascii="宋体" w:hAnsi="宋体" w:eastAsia="宋体" w:cs="宋体"/>
                        <w:b w:val="0"/>
                        <w:bCs w:val="0"/>
                      </w:rPr>
                      <w:t>1</w:t>
                    </w:r>
                    <w:r>
                      <w:rPr>
                        <w:rFonts w:hint="eastAsia" w:ascii="宋体" w:hAnsi="宋体" w:eastAsia="宋体" w:cs="宋体"/>
                        <w:b w:val="0"/>
                        <w:bCs w:val="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BF1AA0"/>
    <w:rsid w:val="000B0899"/>
    <w:rsid w:val="0045238E"/>
    <w:rsid w:val="00776D29"/>
    <w:rsid w:val="00C1476C"/>
    <w:rsid w:val="175F3DFB"/>
    <w:rsid w:val="2BDBF630"/>
    <w:rsid w:val="2FFF1659"/>
    <w:rsid w:val="397F3D1A"/>
    <w:rsid w:val="3BEF59EA"/>
    <w:rsid w:val="3DDF8CE7"/>
    <w:rsid w:val="3FD369DD"/>
    <w:rsid w:val="3FF5D2ED"/>
    <w:rsid w:val="3FFF26BD"/>
    <w:rsid w:val="421E6DA8"/>
    <w:rsid w:val="4DFC6C8F"/>
    <w:rsid w:val="4F63B6C7"/>
    <w:rsid w:val="56FA080E"/>
    <w:rsid w:val="5AFE5801"/>
    <w:rsid w:val="5BEFBFFB"/>
    <w:rsid w:val="5CBF5504"/>
    <w:rsid w:val="5CFF0E07"/>
    <w:rsid w:val="5F7D812E"/>
    <w:rsid w:val="6B7CEF76"/>
    <w:rsid w:val="6BFF951C"/>
    <w:rsid w:val="6F7752A2"/>
    <w:rsid w:val="76733BB6"/>
    <w:rsid w:val="77D216E6"/>
    <w:rsid w:val="77EF40F8"/>
    <w:rsid w:val="7FDB9AF8"/>
    <w:rsid w:val="7FF501BB"/>
    <w:rsid w:val="AFECD766"/>
    <w:rsid w:val="BEF5DD31"/>
    <w:rsid w:val="BEF7AFE7"/>
    <w:rsid w:val="BF7B0EDF"/>
    <w:rsid w:val="BFFFBB2C"/>
    <w:rsid w:val="C3E35728"/>
    <w:rsid w:val="CA6F306E"/>
    <w:rsid w:val="D1F71953"/>
    <w:rsid w:val="D7D0A90E"/>
    <w:rsid w:val="DDCA721F"/>
    <w:rsid w:val="DDD4360F"/>
    <w:rsid w:val="DFFE767E"/>
    <w:rsid w:val="E6661EB5"/>
    <w:rsid w:val="ED5FD36D"/>
    <w:rsid w:val="EDBF1AA0"/>
    <w:rsid w:val="F37D2C16"/>
    <w:rsid w:val="F5FDD82F"/>
    <w:rsid w:val="F5FFBBA4"/>
    <w:rsid w:val="F6DF1823"/>
    <w:rsid w:val="F9F6917F"/>
    <w:rsid w:val="FB69AF11"/>
    <w:rsid w:val="FB6AB156"/>
    <w:rsid w:val="FBFFBE56"/>
    <w:rsid w:val="FCC4005C"/>
    <w:rsid w:val="FCD79FA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445</Words>
  <Characters>2541</Characters>
  <Lines>21</Lines>
  <Paragraphs>5</Paragraphs>
  <TotalTime>4.66666666666667</TotalTime>
  <ScaleCrop>false</ScaleCrop>
  <LinksUpToDate>false</LinksUpToDate>
  <CharactersWithSpaces>2981</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2026-07-17T17:12:00Z</dcterms:created>
  <dc:creator>羊坊店</dc:creator>
  <cp:lastModifiedBy>网站编辑部</cp:lastModifiedBy>
  <cp:lastPrinted>2026-07-25T18:56:27Z</cp:lastPrinted>
  <dcterms:modified xsi:type="dcterms:W3CDTF">2026-07-27T01:11:59Z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y fmtid="{D5CDD505-2E9C-101B-9397-08002B2CF9AE}" pid="3" name="ICV">
    <vt:lpwstr>06274AFA37EA781DCF1E4E6A3E43DF82_43</vt:lpwstr>
  </property>
</Properties>
</file>